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FF0000"/>
          <w:sz w:val="36"/>
          <w:szCs w:val="36"/>
        </w:rPr>
      </w:pPr>
      <w:r>
        <w:rPr>
          <w:color w:val="FF0000"/>
          <w:sz w:val="36"/>
        </w:rPr>
        <mc:AlternateContent>
          <mc:Choice Requires="wps">
            <w:drawing>
              <wp:anchor distT="0" distB="0" distL="114300" distR="114300" simplePos="0" relativeHeight="251659264" behindDoc="0" locked="0" layoutInCell="1" allowOverlap="1">
                <wp:simplePos x="0" y="0"/>
                <wp:positionH relativeFrom="column">
                  <wp:posOffset>-3056255</wp:posOffset>
                </wp:positionH>
                <wp:positionV relativeFrom="paragraph">
                  <wp:posOffset>-1259840</wp:posOffset>
                </wp:positionV>
                <wp:extent cx="635" cy="635"/>
                <wp:effectExtent l="80010" t="80010" r="14605" b="14605"/>
                <wp:wrapNone/>
                <wp:docPr id="3" name="直线 647"/>
                <wp:cNvGraphicFramePr/>
                <a:graphic xmlns:a="http://schemas.openxmlformats.org/drawingml/2006/main">
                  <a:graphicData uri="http://schemas.microsoft.com/office/word/2010/wordprocessingShape">
                    <wps:wsp>
                      <wps:cNvCnPr/>
                      <wps:spPr>
                        <a:xfrm>
                          <a:off x="0" y="0"/>
                          <a:ext cx="635" cy="635"/>
                        </a:xfrm>
                        <a:prstGeom prst="line">
                          <a:avLst/>
                        </a:prstGeom>
                        <a:ln w="9525" cap="sq" cmpd="sng">
                          <a:solidFill>
                            <a:srgbClr val="000000"/>
                          </a:solidFill>
                          <a:prstDash val="sysDot"/>
                          <a:headEnd type="none" w="med" len="med"/>
                          <a:tailEnd type="triangle" w="med" len="med"/>
                        </a:ln>
                      </wps:spPr>
                      <wps:bodyPr/>
                    </wps:wsp>
                  </a:graphicData>
                </a:graphic>
              </wp:anchor>
            </w:drawing>
          </mc:Choice>
          <mc:Fallback>
            <w:pict>
              <v:line id="直线 647" o:spid="_x0000_s1026" o:spt="20" style="position:absolute;left:0pt;margin-left:-240.65pt;margin-top:-99.2pt;height:0.05pt;width:0.05pt;z-index:251659264;mso-width-relative:page;mso-height-relative:page;" filled="f" stroked="t" coordsize="21600,21600" o:gfxdata="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uLr29&#10;2wAAAA8BAAAPAAAAAAAAAAEAIAAAACIAAABkcnMvZG93bnJldi54bWxQSwECFAAUAAAACACHTuJA&#10;bQg/9uUBAADSAwAADgAAAAAAAAABACAAAAAqAQAAZHJzL2Uyb0RvYy54bWxQSwUGAAAAAAYABgBZ&#10;AQAAgQUAAAAA&#10;">
                <v:fill on="f" focussize="0,0"/>
                <v:stroke color="#000000" joinstyle="round" dashstyle="1 1" endcap="square" endarrow="block"/>
                <v:imagedata o:title=""/>
                <o:lock v:ext="edit" aspectratio="f"/>
              </v:line>
            </w:pict>
          </mc:Fallback>
        </mc:AlternateContent>
      </w:r>
    </w:p>
    <w:p>
      <w:pPr>
        <w:rPr>
          <w:color w:val="FF0000"/>
          <w:sz w:val="36"/>
          <w:szCs w:val="36"/>
        </w:rPr>
      </w:pPr>
    </w:p>
    <w:p>
      <w:pPr>
        <w:rPr>
          <w:color w:val="FF0000"/>
          <w:sz w:val="36"/>
          <w:szCs w:val="36"/>
        </w:rPr>
      </w:pPr>
    </w:p>
    <w:p>
      <w:pPr>
        <w:adjustRightInd w:val="0"/>
        <w:snapToGrid w:val="0"/>
        <w:jc w:val="center"/>
        <w:outlineLvl w:val="0"/>
        <w:rPr>
          <w:bCs/>
          <w:sz w:val="72"/>
          <w:szCs w:val="72"/>
        </w:rPr>
      </w:pPr>
      <w:r>
        <w:rPr>
          <w:bCs/>
          <w:sz w:val="72"/>
          <w:szCs w:val="72"/>
        </w:rPr>
        <w:t>建设项目环境影响报告表</w:t>
      </w:r>
    </w:p>
    <w:p>
      <w:pPr>
        <w:adjustRightInd w:val="0"/>
        <w:snapToGrid w:val="0"/>
        <w:spacing w:before="192" w:beforeLines="80"/>
        <w:jc w:val="center"/>
        <w:rPr>
          <w:bCs/>
          <w:sz w:val="48"/>
          <w:szCs w:val="48"/>
        </w:rPr>
      </w:pPr>
      <w:r>
        <w:rPr>
          <w:bCs/>
          <w:sz w:val="48"/>
          <w:szCs w:val="48"/>
        </w:rPr>
        <w:t>（污染影响类）</w:t>
      </w:r>
    </w:p>
    <w:p>
      <w:pPr>
        <w:rPr>
          <w:color w:val="FF0000"/>
        </w:rPr>
      </w:pPr>
    </w:p>
    <w:p>
      <w:pPr>
        <w:rPr>
          <w:color w:val="FF0000"/>
        </w:rPr>
      </w:pPr>
    </w:p>
    <w:p>
      <w:pPr>
        <w:rPr>
          <w:color w:val="FF0000"/>
        </w:rPr>
      </w:pPr>
    </w:p>
    <w:p>
      <w:pPr>
        <w:rPr>
          <w:color w:val="FF0000"/>
        </w:rPr>
      </w:pPr>
    </w:p>
    <w:p>
      <w:pPr>
        <w:rPr>
          <w:color w:val="FF0000"/>
        </w:rPr>
      </w:pPr>
    </w:p>
    <w:p>
      <w:pPr>
        <w:rPr>
          <w:color w:val="FF0000"/>
        </w:rPr>
      </w:pPr>
    </w:p>
    <w:p>
      <w:pPr>
        <w:rPr>
          <w:color w:val="FF0000"/>
        </w:rPr>
      </w:pPr>
    </w:p>
    <w:p>
      <w:pPr>
        <w:rPr>
          <w:color w:val="FF0000"/>
        </w:rPr>
      </w:pPr>
    </w:p>
    <w:p>
      <w:pPr>
        <w:rPr>
          <w:color w:val="FF0000"/>
        </w:rPr>
      </w:pPr>
    </w:p>
    <w:p>
      <w:pPr>
        <w:pStyle w:val="35"/>
        <w:rPr>
          <w:color w:val="FF0000"/>
        </w:rPr>
      </w:pPr>
    </w:p>
    <w:p>
      <w:pPr>
        <w:rPr>
          <w:color w:val="FF0000"/>
        </w:rPr>
      </w:pPr>
    </w:p>
    <w:p>
      <w:pPr>
        <w:pStyle w:val="35"/>
        <w:rPr>
          <w:color w:val="FF0000"/>
        </w:rPr>
      </w:pPr>
    </w:p>
    <w:p>
      <w:pPr>
        <w:rPr>
          <w:color w:val="FF0000"/>
        </w:rPr>
      </w:pPr>
    </w:p>
    <w:p>
      <w:pPr>
        <w:rPr>
          <w:color w:val="FF0000"/>
        </w:rPr>
      </w:pPr>
    </w:p>
    <w:p>
      <w:pPr>
        <w:rPr>
          <w:color w:val="FF0000"/>
        </w:rPr>
      </w:pPr>
    </w:p>
    <w:p>
      <w:pPr>
        <w:rPr>
          <w:color w:val="FF0000"/>
        </w:rPr>
      </w:pPr>
    </w:p>
    <w:p>
      <w:pPr>
        <w:adjustRightInd w:val="0"/>
        <w:snapToGrid w:val="0"/>
        <w:spacing w:line="360" w:lineRule="auto"/>
        <w:ind w:firstLine="1040"/>
        <w:jc w:val="left"/>
        <w:rPr>
          <w:rFonts w:hint="eastAsia" w:eastAsia="宋体"/>
          <w:sz w:val="36"/>
          <w:szCs w:val="36"/>
          <w:u w:val="single"/>
          <w:lang w:eastAsia="zh-CN"/>
        </w:rPr>
      </w:pPr>
      <w:r>
        <w:rPr>
          <w:sz w:val="36"/>
          <w:szCs w:val="36"/>
        </w:rPr>
        <w:t>项目名称：</w:t>
      </w:r>
      <w:r>
        <w:rPr>
          <w:rFonts w:hint="eastAsia" w:ascii="宋体" w:hAnsi="宋体"/>
          <w:sz w:val="36"/>
          <w:szCs w:val="36"/>
          <w:u w:val="single"/>
          <w:lang w:eastAsia="zh-CN"/>
        </w:rPr>
        <w:t>苏州暖馨动物医院有限公司</w:t>
      </w:r>
      <w:r>
        <w:rPr>
          <w:rFonts w:hint="eastAsia" w:ascii="宋体" w:hAnsi="宋体"/>
          <w:sz w:val="36"/>
          <w:szCs w:val="36"/>
          <w:u w:val="single"/>
        </w:rPr>
        <w:t>新建</w:t>
      </w:r>
      <w:r>
        <w:rPr>
          <w:rFonts w:hint="eastAsia" w:ascii="宋体" w:hAnsi="宋体"/>
          <w:sz w:val="36"/>
          <w:szCs w:val="36"/>
          <w:u w:val="single"/>
          <w:lang w:val="en-US" w:eastAsia="zh-CN"/>
        </w:rPr>
        <w:t>动物医院项目</w:t>
      </w:r>
    </w:p>
    <w:p>
      <w:pPr>
        <w:adjustRightInd w:val="0"/>
        <w:snapToGrid w:val="0"/>
        <w:spacing w:line="360" w:lineRule="auto"/>
        <w:jc w:val="center"/>
        <w:rPr>
          <w:sz w:val="36"/>
          <w:szCs w:val="36"/>
          <w:u w:val="single"/>
        </w:rPr>
      </w:pPr>
      <w:r>
        <w:rPr>
          <w:sz w:val="36"/>
          <w:szCs w:val="36"/>
        </w:rPr>
        <w:t>建设单位（盖章）：</w:t>
      </w:r>
      <w:r>
        <w:rPr>
          <w:rFonts w:hint="eastAsia" w:ascii="宋体" w:hAnsi="宋体"/>
          <w:sz w:val="36"/>
          <w:szCs w:val="36"/>
          <w:u w:val="single"/>
          <w:lang w:eastAsia="zh-CN"/>
        </w:rPr>
        <w:t>苏州暖馨动物医院有限公司</w:t>
      </w:r>
    </w:p>
    <w:p>
      <w:pPr>
        <w:adjustRightInd w:val="0"/>
        <w:snapToGrid w:val="0"/>
        <w:spacing w:line="360" w:lineRule="auto"/>
        <w:ind w:firstLine="1040"/>
        <w:rPr>
          <w:rFonts w:hint="eastAsia" w:eastAsia="宋体"/>
          <w:sz w:val="36"/>
          <w:szCs w:val="36"/>
          <w:u w:val="single"/>
          <w:lang w:eastAsia="zh-CN"/>
        </w:rPr>
      </w:pPr>
      <w:r>
        <w:rPr>
          <w:sz w:val="36"/>
          <w:szCs w:val="36"/>
        </w:rPr>
        <w:t>编制日期：</w:t>
      </w:r>
      <w:r>
        <w:rPr>
          <w:sz w:val="36"/>
          <w:szCs w:val="36"/>
          <w:u w:val="single"/>
        </w:rPr>
        <w:t>202</w:t>
      </w:r>
      <w:r>
        <w:rPr>
          <w:rFonts w:hint="eastAsia"/>
          <w:sz w:val="36"/>
          <w:szCs w:val="36"/>
          <w:u w:val="single"/>
          <w:lang w:val="en-US" w:eastAsia="zh-CN"/>
        </w:rPr>
        <w:t>4</w:t>
      </w:r>
      <w:r>
        <w:rPr>
          <w:sz w:val="36"/>
          <w:szCs w:val="36"/>
          <w:u w:val="single"/>
        </w:rPr>
        <w:t>年</w:t>
      </w:r>
      <w:r>
        <w:rPr>
          <w:rFonts w:hint="eastAsia"/>
          <w:sz w:val="36"/>
          <w:szCs w:val="36"/>
          <w:u w:val="single"/>
          <w:lang w:val="en-US" w:eastAsia="zh-CN"/>
        </w:rPr>
        <w:t>5</w:t>
      </w:r>
      <w:r>
        <w:rPr>
          <w:sz w:val="36"/>
          <w:szCs w:val="36"/>
          <w:u w:val="single"/>
        </w:rPr>
        <w:t>月</w:t>
      </w:r>
      <w:r>
        <w:rPr>
          <w:rFonts w:hint="eastAsia"/>
          <w:sz w:val="36"/>
          <w:szCs w:val="36"/>
          <w:u w:val="single"/>
          <w:lang w:val="en-US" w:eastAsia="zh-CN"/>
        </w:rPr>
        <w:t>30</w:t>
      </w:r>
      <w:r>
        <w:rPr>
          <w:sz w:val="36"/>
          <w:szCs w:val="36"/>
          <w:u w:val="single"/>
        </w:rPr>
        <w:t>日</w:t>
      </w:r>
    </w:p>
    <w:p>
      <w:pPr>
        <w:adjustRightInd w:val="0"/>
        <w:snapToGrid w:val="0"/>
        <w:spacing w:line="288" w:lineRule="auto"/>
        <w:ind w:firstLine="1040"/>
        <w:rPr>
          <w:sz w:val="36"/>
          <w:szCs w:val="36"/>
          <w:u w:val="single"/>
        </w:rPr>
      </w:pPr>
      <w:bookmarkStart w:id="0" w:name="_Hlk57884087"/>
    </w:p>
    <w:p>
      <w:pPr>
        <w:pStyle w:val="35"/>
        <w:ind w:left="0" w:leftChars="0" w:firstLine="0" w:firstLineChars="0"/>
      </w:pPr>
    </w:p>
    <w:p>
      <w:pPr>
        <w:adjustRightInd w:val="0"/>
        <w:snapToGrid w:val="0"/>
        <w:spacing w:line="288" w:lineRule="auto"/>
        <w:rPr>
          <w:sz w:val="36"/>
          <w:szCs w:val="36"/>
        </w:rPr>
      </w:pPr>
    </w:p>
    <w:bookmarkEnd w:id="0"/>
    <w:p>
      <w:pPr>
        <w:adjustRightInd w:val="0"/>
        <w:snapToGrid w:val="0"/>
        <w:spacing w:line="288" w:lineRule="auto"/>
        <w:jc w:val="center"/>
        <w:rPr>
          <w:sz w:val="36"/>
          <w:szCs w:val="36"/>
        </w:rPr>
      </w:pPr>
      <w:r>
        <w:rPr>
          <w:sz w:val="36"/>
          <w:szCs w:val="36"/>
        </w:rPr>
        <w:t>中华人民共和国生态环境部制</w:t>
      </w:r>
    </w:p>
    <w:p>
      <w:pPr>
        <w:adjustRightInd w:val="0"/>
        <w:snapToGrid w:val="0"/>
        <w:spacing w:line="288" w:lineRule="auto"/>
        <w:rPr>
          <w:color w:val="FF0000"/>
          <w:sz w:val="36"/>
          <w:szCs w:val="36"/>
        </w:rPr>
        <w:sectPr>
          <w:footerReference r:id="rId3" w:type="default"/>
          <w:footerReference r:id="rId4" w:type="even"/>
          <w:pgSz w:w="11906" w:h="16838"/>
          <w:pgMar w:top="1701" w:right="1531" w:bottom="1701" w:left="1531" w:header="851" w:footer="1077" w:gutter="0"/>
          <w:pgNumType w:start="3"/>
          <w:cols w:space="720" w:num="1"/>
          <w:docGrid w:linePitch="312" w:charSpace="0"/>
        </w:sectPr>
      </w:pPr>
    </w:p>
    <w:p>
      <w:pPr>
        <w:pStyle w:val="32"/>
        <w:jc w:val="center"/>
        <w:outlineLvl w:val="0"/>
        <w:rPr>
          <w:rFonts w:ascii="黑体" w:hAnsi="黑体" w:eastAsia="黑体"/>
          <w:bCs/>
          <w:snapToGrid w:val="0"/>
          <w:sz w:val="30"/>
          <w:szCs w:val="30"/>
        </w:rPr>
      </w:pPr>
      <w:r>
        <w:rPr>
          <w:rFonts w:ascii="黑体" w:hAnsi="黑体" w:eastAsia="黑体"/>
          <w:bCs/>
          <w:snapToGrid w:val="0"/>
          <w:sz w:val="30"/>
          <w:szCs w:val="30"/>
        </w:rPr>
        <w:t>一、建设项目基本情况</w:t>
      </w:r>
    </w:p>
    <w:tbl>
      <w:tblPr>
        <w:tblStyle w:val="36"/>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21"/>
        <w:gridCol w:w="2650"/>
        <w:gridCol w:w="782"/>
        <w:gridCol w:w="1403"/>
        <w:gridCol w:w="313"/>
        <w:gridCol w:w="320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27" w:type="pct"/>
            <w:tcMar>
              <w:top w:w="16" w:type="dxa"/>
              <w:left w:w="16" w:type="dxa"/>
              <w:right w:w="16" w:type="dxa"/>
            </w:tcMar>
            <w:vAlign w:val="center"/>
          </w:tcPr>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建设项目名称</w:t>
            </w:r>
          </w:p>
        </w:tc>
        <w:tc>
          <w:tcPr>
            <w:tcW w:w="4272" w:type="pct"/>
            <w:gridSpan w:val="5"/>
            <w:vAlign w:val="center"/>
          </w:tcPr>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eastAsia="zh-CN"/>
              </w:rPr>
              <w:t>苏州暖馨动物医院有限公司</w:t>
            </w:r>
            <w:r>
              <w:rPr>
                <w:rFonts w:hint="default" w:ascii="Times New Roman" w:hAnsi="Times New Roman" w:cs="Times New Roman" w:eastAsiaTheme="minorEastAsia"/>
                <w:sz w:val="21"/>
                <w:szCs w:val="21"/>
              </w:rPr>
              <w:t>新建</w:t>
            </w:r>
            <w:r>
              <w:rPr>
                <w:rFonts w:hint="default" w:ascii="Times New Roman" w:hAnsi="Times New Roman" w:cs="Times New Roman" w:eastAsiaTheme="minorEastAsia"/>
                <w:sz w:val="21"/>
                <w:szCs w:val="21"/>
                <w:lang w:val="en-US" w:eastAsia="zh-CN"/>
              </w:rPr>
              <w:t>动物医院项目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0" w:hRule="atLeast"/>
          <w:jc w:val="center"/>
        </w:trPr>
        <w:tc>
          <w:tcPr>
            <w:tcW w:w="727" w:type="pct"/>
            <w:tcMar>
              <w:top w:w="16" w:type="dxa"/>
              <w:left w:w="16" w:type="dxa"/>
              <w:right w:w="16" w:type="dxa"/>
            </w:tcMar>
            <w:vAlign w:val="center"/>
          </w:tcPr>
          <w:p>
            <w:pPr>
              <w:adjustRightInd w:val="0"/>
              <w:snapToGrid w:val="0"/>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项目代码</w:t>
            </w:r>
          </w:p>
        </w:tc>
        <w:tc>
          <w:tcPr>
            <w:tcW w:w="4272" w:type="pct"/>
            <w:gridSpan w:val="5"/>
            <w:vAlign w:val="center"/>
          </w:tcPr>
          <w:p>
            <w:pPr>
              <w:adjustRightInd w:val="0"/>
              <w:snapToGrid w:val="0"/>
              <w:spacing w:line="240" w:lineRule="auto"/>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lang w:val="en-US" w:eastAsia="zh-CN"/>
              </w:rPr>
              <w:t>2405-320585-89-01-546183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27" w:type="pct"/>
            <w:tcMar>
              <w:top w:w="16" w:type="dxa"/>
              <w:left w:w="16" w:type="dxa"/>
              <w:right w:w="16" w:type="dxa"/>
            </w:tcMar>
            <w:vAlign w:val="center"/>
          </w:tcPr>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建设单位联系人</w:t>
            </w:r>
          </w:p>
        </w:tc>
        <w:tc>
          <w:tcPr>
            <w:tcW w:w="1756" w:type="pct"/>
            <w:gridSpan w:val="2"/>
            <w:vAlign w:val="center"/>
          </w:tcPr>
          <w:p>
            <w:pPr>
              <w:adjustRightInd w:val="0"/>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color w:val="auto"/>
                <w:sz w:val="21"/>
                <w:szCs w:val="21"/>
                <w:lang w:val="en-US" w:eastAsia="zh-CN"/>
              </w:rPr>
              <w:t>顾燕婷</w:t>
            </w:r>
          </w:p>
        </w:tc>
        <w:tc>
          <w:tcPr>
            <w:tcW w:w="878" w:type="pct"/>
            <w:gridSpan w:val="2"/>
            <w:vAlign w:val="center"/>
          </w:tcPr>
          <w:p>
            <w:pPr>
              <w:adjustRightInd w:val="0"/>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联系方式</w:t>
            </w:r>
          </w:p>
        </w:tc>
        <w:tc>
          <w:tcPr>
            <w:tcW w:w="1638" w:type="pct"/>
            <w:vAlign w:val="center"/>
          </w:tcPr>
          <w:p>
            <w:pPr>
              <w:adjustRightInd w:val="0"/>
              <w:snapToGrid w:val="0"/>
              <w:spacing w:line="24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color w:val="auto"/>
                <w:sz w:val="21"/>
                <w:szCs w:val="21"/>
              </w:rPr>
              <w:t>17802520059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67" w:hRule="atLeast"/>
          <w:jc w:val="center"/>
        </w:trPr>
        <w:tc>
          <w:tcPr>
            <w:tcW w:w="727" w:type="pct"/>
            <w:tcMar>
              <w:top w:w="16" w:type="dxa"/>
              <w:left w:w="16" w:type="dxa"/>
              <w:right w:w="16" w:type="dxa"/>
            </w:tcMar>
            <w:vAlign w:val="center"/>
          </w:tcPr>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建设地点</w:t>
            </w:r>
          </w:p>
        </w:tc>
        <w:tc>
          <w:tcPr>
            <w:tcW w:w="4272" w:type="pct"/>
            <w:gridSpan w:val="5"/>
            <w:vAlign w:val="center"/>
          </w:tcPr>
          <w:p>
            <w:pPr>
              <w:spacing w:line="24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color w:val="auto"/>
                <w:sz w:val="21"/>
                <w:szCs w:val="21"/>
              </w:rPr>
              <w:t>江苏省苏州市太仓市</w:t>
            </w:r>
            <w:r>
              <w:rPr>
                <w:rFonts w:hint="default" w:ascii="Times New Roman" w:hAnsi="Times New Roman" w:cs="Times New Roman" w:eastAsiaTheme="minorEastAsia"/>
                <w:color w:val="auto"/>
                <w:sz w:val="21"/>
                <w:szCs w:val="21"/>
                <w:lang w:val="en-US" w:eastAsia="zh-CN"/>
              </w:rPr>
              <w:t>高新区</w:t>
            </w:r>
            <w:r>
              <w:rPr>
                <w:rFonts w:hint="default" w:ascii="Times New Roman" w:hAnsi="Times New Roman" w:cs="Times New Roman" w:eastAsiaTheme="minorEastAsia"/>
                <w:color w:val="auto"/>
                <w:sz w:val="21"/>
                <w:szCs w:val="21"/>
              </w:rPr>
              <w:t>郑和中路376号20幢商铺06室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5" w:hRule="atLeast"/>
          <w:jc w:val="center"/>
        </w:trPr>
        <w:tc>
          <w:tcPr>
            <w:tcW w:w="727" w:type="pct"/>
            <w:tcMar>
              <w:top w:w="16" w:type="dxa"/>
              <w:left w:w="16" w:type="dxa"/>
              <w:right w:w="16" w:type="dxa"/>
            </w:tcMar>
            <w:vAlign w:val="center"/>
          </w:tcPr>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地理坐标</w:t>
            </w:r>
          </w:p>
        </w:tc>
        <w:tc>
          <w:tcPr>
            <w:tcW w:w="4272" w:type="pct"/>
            <w:gridSpan w:val="5"/>
            <w:vAlign w:val="center"/>
          </w:tcPr>
          <w:p>
            <w:pPr>
              <w:spacing w:line="240" w:lineRule="auto"/>
              <w:jc w:val="center"/>
              <w:rPr>
                <w:rFonts w:hint="default" w:ascii="Times New Roman" w:hAnsi="Times New Roman" w:cs="Times New Roman" w:eastAsiaTheme="minorEastAsia"/>
                <w:sz w:val="21"/>
                <w:szCs w:val="21"/>
                <w:u w:val="single"/>
                <w:lang w:val="en-US"/>
              </w:rPr>
            </w:pPr>
            <w:r>
              <w:rPr>
                <w:rFonts w:hint="default" w:ascii="Times New Roman" w:hAnsi="Times New Roman" w:cs="Times New Roman" w:eastAsiaTheme="minorEastAsia"/>
                <w:color w:val="auto"/>
                <w:sz w:val="21"/>
                <w:szCs w:val="21"/>
                <w:lang w:val="en-US" w:eastAsia="zh-CN"/>
              </w:rPr>
              <w:t>（121度7分10.8048秒，31度27分41.8428秒）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120" w:hRule="atLeast"/>
          <w:jc w:val="center"/>
        </w:trPr>
        <w:tc>
          <w:tcPr>
            <w:tcW w:w="727" w:type="pct"/>
            <w:tcMar>
              <w:top w:w="16" w:type="dxa"/>
              <w:left w:w="16" w:type="dxa"/>
              <w:right w:w="16" w:type="dxa"/>
            </w:tcMar>
            <w:vAlign w:val="center"/>
          </w:tcPr>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国民经济</w:t>
            </w:r>
          </w:p>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行业类别</w:t>
            </w:r>
          </w:p>
        </w:tc>
        <w:tc>
          <w:tcPr>
            <w:tcW w:w="1356" w:type="pct"/>
            <w:vAlign w:val="center"/>
          </w:tcPr>
          <w:p>
            <w:pPr>
              <w:pStyle w:val="16"/>
              <w:spacing w:line="276" w:lineRule="auto"/>
              <w:jc w:val="left"/>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2"/>
                <w:sz w:val="21"/>
                <w:szCs w:val="21"/>
                <w:lang w:val="en-US" w:eastAsia="zh-CN" w:bidi="ar-SA"/>
              </w:rPr>
              <w:t>O8222宠物医院服务</w:t>
            </w:r>
          </w:p>
        </w:tc>
        <w:tc>
          <w:tcPr>
            <w:tcW w:w="1118" w:type="pct"/>
            <w:gridSpan w:val="2"/>
            <w:vAlign w:val="center"/>
          </w:tcPr>
          <w:p>
            <w:pPr>
              <w:adjustRightInd w:val="0"/>
              <w:snapToGrid w:val="0"/>
              <w:spacing w:line="276" w:lineRule="auto"/>
              <w:jc w:val="center"/>
              <w:rPr>
                <w:rFonts w:hint="default" w:ascii="Times New Roman" w:hAnsi="Times New Roman" w:cs="Times New Roman" w:eastAsiaTheme="minorEastAsia"/>
                <w:sz w:val="21"/>
                <w:szCs w:val="21"/>
              </w:rPr>
            </w:pPr>
            <w:bookmarkStart w:id="1" w:name="_Hlk49843745"/>
            <w:r>
              <w:rPr>
                <w:rFonts w:hint="default" w:ascii="Times New Roman" w:hAnsi="Times New Roman" w:cs="Times New Roman" w:eastAsiaTheme="minorEastAsia"/>
                <w:sz w:val="21"/>
                <w:szCs w:val="21"/>
              </w:rPr>
              <w:t>建设项目</w:t>
            </w:r>
          </w:p>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行业类别</w:t>
            </w:r>
            <w:bookmarkEnd w:id="1"/>
          </w:p>
        </w:tc>
        <w:tc>
          <w:tcPr>
            <w:tcW w:w="1797" w:type="pct"/>
            <w:gridSpan w:val="2"/>
            <w:vAlign w:val="center"/>
          </w:tcPr>
          <w:p>
            <w:pPr>
              <w:pStyle w:val="16"/>
              <w:jc w:val="left"/>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2"/>
                <w:sz w:val="21"/>
                <w:szCs w:val="21"/>
                <w:lang w:val="en-US" w:eastAsia="zh-CN" w:bidi="ar-SA"/>
              </w:rPr>
              <w:t>五十、社会事业与服务业，123动物医院，设有动物颅腔、胸腔或腹腔手术设施的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308" w:hRule="atLeast"/>
          <w:jc w:val="center"/>
        </w:trPr>
        <w:tc>
          <w:tcPr>
            <w:tcW w:w="727" w:type="pct"/>
            <w:tcMar>
              <w:top w:w="16" w:type="dxa"/>
              <w:left w:w="16" w:type="dxa"/>
              <w:right w:w="16" w:type="dxa"/>
            </w:tcMar>
            <w:vAlign w:val="center"/>
          </w:tcPr>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建设性质</w:t>
            </w:r>
          </w:p>
        </w:tc>
        <w:tc>
          <w:tcPr>
            <w:tcW w:w="1356" w:type="pct"/>
            <w:vAlign w:val="center"/>
          </w:tcPr>
          <w:p>
            <w:pPr>
              <w:spacing w:line="276" w:lineRule="auto"/>
              <w:jc w:val="lef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eastAsia="zh-CN"/>
              </w:rPr>
              <w:t>☑</w:t>
            </w:r>
            <w:r>
              <w:rPr>
                <w:rFonts w:hint="default" w:ascii="Times New Roman" w:hAnsi="Times New Roman" w:cs="Times New Roman" w:eastAsiaTheme="minorEastAsia"/>
                <w:sz w:val="21"/>
                <w:szCs w:val="21"/>
              </w:rPr>
              <w:t>新建（迁建）</w:t>
            </w:r>
          </w:p>
          <w:p>
            <w:pPr>
              <w:spacing w:line="276" w:lineRule="auto"/>
              <w:jc w:val="lef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□改建</w:t>
            </w:r>
          </w:p>
          <w:p>
            <w:pPr>
              <w:spacing w:line="276" w:lineRule="auto"/>
              <w:jc w:val="lef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sym w:font="Wingdings 2" w:char="00A3"/>
            </w:r>
            <w:r>
              <w:rPr>
                <w:rFonts w:hint="default" w:ascii="Times New Roman" w:hAnsi="Times New Roman" w:cs="Times New Roman" w:eastAsiaTheme="minorEastAsia"/>
                <w:sz w:val="21"/>
                <w:szCs w:val="21"/>
              </w:rPr>
              <w:t>扩建</w:t>
            </w:r>
          </w:p>
          <w:p>
            <w:pPr>
              <w:spacing w:line="276" w:lineRule="auto"/>
              <w:jc w:val="lef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□技术改造</w:t>
            </w:r>
          </w:p>
        </w:tc>
        <w:tc>
          <w:tcPr>
            <w:tcW w:w="1118" w:type="pct"/>
            <w:gridSpan w:val="2"/>
            <w:vAlign w:val="center"/>
          </w:tcPr>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建设项目</w:t>
            </w:r>
          </w:p>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申报情形</w:t>
            </w:r>
          </w:p>
        </w:tc>
        <w:tc>
          <w:tcPr>
            <w:tcW w:w="1797" w:type="pct"/>
            <w:gridSpan w:val="2"/>
            <w:vAlign w:val="center"/>
          </w:tcPr>
          <w:p>
            <w:pPr>
              <w:spacing w:line="276" w:lineRule="auto"/>
              <w:jc w:val="left"/>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rPr>
              <w:t>☑首次申报项目</w:t>
            </w:r>
          </w:p>
          <w:p>
            <w:pPr>
              <w:spacing w:line="276" w:lineRule="auto"/>
              <w:jc w:val="lef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□不予批准后再5次申报项目</w:t>
            </w:r>
          </w:p>
          <w:p>
            <w:pPr>
              <w:spacing w:line="276" w:lineRule="auto"/>
              <w:jc w:val="left"/>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rPr>
              <w:t>□超五年重新审核项目</w:t>
            </w:r>
          </w:p>
          <w:p>
            <w:pPr>
              <w:spacing w:line="276" w:lineRule="auto"/>
              <w:jc w:val="lef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74" w:hRule="atLeast"/>
          <w:jc w:val="center"/>
        </w:trPr>
        <w:tc>
          <w:tcPr>
            <w:tcW w:w="727" w:type="pct"/>
            <w:tcMar>
              <w:top w:w="16" w:type="dxa"/>
              <w:left w:w="16" w:type="dxa"/>
              <w:right w:w="16" w:type="dxa"/>
            </w:tcMar>
            <w:vAlign w:val="center"/>
          </w:tcPr>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项目审批（核准/备案）部门（选填）</w:t>
            </w:r>
          </w:p>
        </w:tc>
        <w:tc>
          <w:tcPr>
            <w:tcW w:w="1356" w:type="pct"/>
            <w:vAlign w:val="center"/>
          </w:tcPr>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太仓市行政审批局</w:t>
            </w:r>
          </w:p>
        </w:tc>
        <w:tc>
          <w:tcPr>
            <w:tcW w:w="1118" w:type="pct"/>
            <w:gridSpan w:val="2"/>
            <w:vAlign w:val="center"/>
          </w:tcPr>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项目审批（核准/</w:t>
            </w:r>
          </w:p>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备案）文号（选填）</w:t>
            </w:r>
          </w:p>
        </w:tc>
        <w:tc>
          <w:tcPr>
            <w:tcW w:w="1797" w:type="pct"/>
            <w:gridSpan w:val="2"/>
            <w:vAlign w:val="center"/>
          </w:tcPr>
          <w:p>
            <w:pPr>
              <w:pStyle w:val="16"/>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kern w:val="2"/>
                <w:sz w:val="21"/>
                <w:szCs w:val="21"/>
                <w:lang w:val="en-US" w:eastAsia="zh-CN" w:bidi="ar-SA"/>
              </w:rPr>
              <w:t>太行审投备〔2024〕298号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727" w:type="pct"/>
            <w:tcMar>
              <w:top w:w="16" w:type="dxa"/>
              <w:left w:w="16" w:type="dxa"/>
              <w:right w:w="16" w:type="dxa"/>
            </w:tcMar>
            <w:vAlign w:val="center"/>
          </w:tcPr>
          <w:p>
            <w:pPr>
              <w:adjustRightInd w:val="0"/>
              <w:snapToGrid w:val="0"/>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总投资（万元）</w:t>
            </w:r>
          </w:p>
        </w:tc>
        <w:tc>
          <w:tcPr>
            <w:tcW w:w="1356" w:type="pct"/>
            <w:vAlign w:val="center"/>
          </w:tcPr>
          <w:p>
            <w:pPr>
              <w:adjustRightInd w:val="0"/>
              <w:snapToGrid w:val="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400</w:t>
            </w:r>
          </w:p>
        </w:tc>
        <w:tc>
          <w:tcPr>
            <w:tcW w:w="1118" w:type="pct"/>
            <w:gridSpan w:val="2"/>
            <w:tcMar>
              <w:top w:w="16" w:type="dxa"/>
              <w:left w:w="16" w:type="dxa"/>
              <w:right w:w="16" w:type="dxa"/>
            </w:tcMar>
            <w:vAlign w:val="center"/>
          </w:tcPr>
          <w:p>
            <w:pPr>
              <w:adjustRightInd w:val="0"/>
              <w:snapToGrid w:val="0"/>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环保投资（万元）</w:t>
            </w:r>
          </w:p>
        </w:tc>
        <w:tc>
          <w:tcPr>
            <w:tcW w:w="1797" w:type="pct"/>
            <w:gridSpan w:val="2"/>
            <w:vAlign w:val="center"/>
          </w:tcPr>
          <w:p>
            <w:pPr>
              <w:adjustRightInd w:val="0"/>
              <w:snapToGrid w:val="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6.5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9" w:hRule="atLeast"/>
          <w:jc w:val="center"/>
        </w:trPr>
        <w:tc>
          <w:tcPr>
            <w:tcW w:w="727" w:type="pct"/>
            <w:tcMar>
              <w:top w:w="16" w:type="dxa"/>
              <w:left w:w="16" w:type="dxa"/>
              <w:right w:w="16" w:type="dxa"/>
            </w:tcMar>
            <w:vAlign w:val="center"/>
          </w:tcPr>
          <w:p>
            <w:pPr>
              <w:adjustRightInd w:val="0"/>
              <w:snapToGrid w:val="0"/>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环保投资占比（%）</w:t>
            </w:r>
          </w:p>
        </w:tc>
        <w:tc>
          <w:tcPr>
            <w:tcW w:w="1356" w:type="pct"/>
            <w:vAlign w:val="center"/>
          </w:tcPr>
          <w:p>
            <w:pPr>
              <w:adjustRightInd w:val="0"/>
              <w:snapToGrid w:val="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1.6%</w:t>
            </w:r>
          </w:p>
        </w:tc>
        <w:tc>
          <w:tcPr>
            <w:tcW w:w="1118" w:type="pct"/>
            <w:gridSpan w:val="2"/>
            <w:tcMar>
              <w:top w:w="16" w:type="dxa"/>
              <w:left w:w="16" w:type="dxa"/>
              <w:right w:w="16" w:type="dxa"/>
            </w:tcMar>
            <w:vAlign w:val="center"/>
          </w:tcPr>
          <w:p>
            <w:pPr>
              <w:adjustRightInd w:val="0"/>
              <w:snapToGrid w:val="0"/>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施工工期</w:t>
            </w:r>
          </w:p>
        </w:tc>
        <w:tc>
          <w:tcPr>
            <w:tcW w:w="1797" w:type="pct"/>
            <w:gridSpan w:val="2"/>
            <w:vAlign w:val="center"/>
          </w:tcPr>
          <w:p>
            <w:pPr>
              <w:adjustRightInd w:val="0"/>
              <w:snapToGrid w:val="0"/>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3个月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727" w:type="pct"/>
            <w:tcMar>
              <w:top w:w="16" w:type="dxa"/>
              <w:left w:w="16" w:type="dxa"/>
              <w:right w:w="16" w:type="dxa"/>
            </w:tcMar>
            <w:vAlign w:val="center"/>
          </w:tcPr>
          <w:p>
            <w:pPr>
              <w:adjustRightInd w:val="0"/>
              <w:snapToGrid w:val="0"/>
              <w:spacing w:line="276"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是否开工建设</w:t>
            </w:r>
          </w:p>
        </w:tc>
        <w:tc>
          <w:tcPr>
            <w:tcW w:w="1356" w:type="pct"/>
            <w:vAlign w:val="center"/>
          </w:tcPr>
          <w:p>
            <w:pPr>
              <w:adjustRightInd w:val="0"/>
              <w:snapToGrid w:val="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☑否</w:t>
            </w:r>
          </w:p>
          <w:p>
            <w:pPr>
              <w:adjustRightInd w:val="0"/>
              <w:snapToGrid w:val="0"/>
              <w:spacing w:line="360" w:lineRule="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sym w:font="Wingdings 2" w:char="00A3"/>
            </w:r>
            <w:r>
              <w:rPr>
                <w:rFonts w:hint="default" w:ascii="Times New Roman" w:hAnsi="Times New Roman" w:cs="Times New Roman" w:eastAsiaTheme="minorEastAsia"/>
                <w:sz w:val="21"/>
                <w:szCs w:val="21"/>
              </w:rPr>
              <w:t>是：</w:t>
            </w:r>
          </w:p>
        </w:tc>
        <w:tc>
          <w:tcPr>
            <w:tcW w:w="1118" w:type="pct"/>
            <w:gridSpan w:val="2"/>
            <w:tcMar>
              <w:top w:w="16" w:type="dxa"/>
              <w:left w:w="16" w:type="dxa"/>
              <w:right w:w="16" w:type="dxa"/>
            </w:tcMar>
            <w:vAlign w:val="center"/>
          </w:tcPr>
          <w:p>
            <w:pPr>
              <w:spacing w:line="36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用地（用海）</w:t>
            </w:r>
          </w:p>
          <w:p>
            <w:pPr>
              <w:spacing w:line="36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面积（m</w:t>
            </w:r>
            <w:r>
              <w:rPr>
                <w:rFonts w:hint="default" w:ascii="Times New Roman" w:hAnsi="Times New Roman" w:cs="Times New Roman" w:eastAsiaTheme="minorEastAsia"/>
                <w:sz w:val="21"/>
                <w:szCs w:val="21"/>
                <w:vertAlign w:val="superscript"/>
              </w:rPr>
              <w:t>2</w:t>
            </w:r>
            <w:r>
              <w:rPr>
                <w:rFonts w:hint="default" w:ascii="Times New Roman" w:hAnsi="Times New Roman" w:cs="Times New Roman" w:eastAsiaTheme="minorEastAsia"/>
                <w:sz w:val="21"/>
                <w:szCs w:val="21"/>
              </w:rPr>
              <w:t>）</w:t>
            </w:r>
          </w:p>
        </w:tc>
        <w:tc>
          <w:tcPr>
            <w:tcW w:w="1797" w:type="pct"/>
            <w:gridSpan w:val="2"/>
            <w:vAlign w:val="center"/>
          </w:tcPr>
          <w:p>
            <w:pPr>
              <w:spacing w:line="360" w:lineRule="auto"/>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lang w:val="en-US" w:eastAsia="zh-CN"/>
              </w:rPr>
              <w:t>517.26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727" w:type="pct"/>
            <w:vAlign w:val="center"/>
          </w:tcPr>
          <w:p>
            <w:pPr>
              <w:autoSpaceDE w:val="0"/>
              <w:autoSpaceDN w:val="0"/>
              <w:adjustRightInd w:val="0"/>
              <w:snapToGrid w:val="0"/>
              <w:spacing w:line="36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专项评价设置情况</w:t>
            </w:r>
          </w:p>
        </w:tc>
        <w:tc>
          <w:tcPr>
            <w:tcW w:w="4272" w:type="pct"/>
            <w:gridSpan w:val="5"/>
            <w:vAlign w:val="center"/>
          </w:tcPr>
          <w:p>
            <w:pPr>
              <w:autoSpaceDE w:val="0"/>
              <w:autoSpaceDN w:val="0"/>
              <w:adjustRightInd w:val="0"/>
              <w:snapToGrid w:val="0"/>
              <w:spacing w:line="36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727" w:type="pct"/>
            <w:vAlign w:val="center"/>
          </w:tcPr>
          <w:p>
            <w:pPr>
              <w:autoSpaceDE w:val="0"/>
              <w:autoSpaceDN w:val="0"/>
              <w:adjustRightInd w:val="0"/>
              <w:snapToGrid w:val="0"/>
              <w:spacing w:line="36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规划情况</w:t>
            </w:r>
          </w:p>
        </w:tc>
        <w:tc>
          <w:tcPr>
            <w:tcW w:w="4272" w:type="pct"/>
            <w:gridSpan w:val="5"/>
            <w:vAlign w:val="center"/>
          </w:tcPr>
          <w:p>
            <w:pPr>
              <w:pStyle w:val="14"/>
              <w:rPr>
                <w:rFonts w:hint="default" w:ascii="Times New Roman" w:hAnsi="Times New Roman" w:cs="Times New Roman" w:eastAsiaTheme="minorEastAsia"/>
                <w:sz w:val="21"/>
                <w:szCs w:val="21"/>
              </w:rPr>
            </w:pPr>
            <w:r>
              <w:rPr>
                <w:rFonts w:hint="eastAsia" w:cs="Times New Roman" w:eastAsiaTheme="minorEastAsia"/>
                <w:sz w:val="21"/>
                <w:szCs w:val="21"/>
                <w:lang w:val="en-US" w:eastAsia="zh-CN"/>
              </w:rPr>
              <w:t>规划名称：</w:t>
            </w:r>
            <w:r>
              <w:rPr>
                <w:rFonts w:hint="default" w:ascii="Times New Roman" w:hAnsi="Times New Roman" w:cs="Times New Roman" w:eastAsiaTheme="minorEastAsia"/>
                <w:sz w:val="21"/>
                <w:szCs w:val="21"/>
              </w:rPr>
              <w:t xml:space="preserve">《江苏省太仓高新技术产业开发区控制性详细规划》 </w:t>
            </w:r>
          </w:p>
          <w:p>
            <w:pPr>
              <w:pStyle w:val="14"/>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 xml:space="preserve">审批机关：太仓市人民政府 </w:t>
            </w:r>
          </w:p>
          <w:p>
            <w:pPr>
              <w:pStyle w:val="14"/>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 xml:space="preserve">审批文号：太政复〔2018〕78号 </w:t>
            </w:r>
          </w:p>
          <w:p>
            <w:pPr>
              <w:pStyle w:val="14"/>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规划范围：西至盐铁塘，南至新浏河，北至苏昆太高速，东至沪通铁路。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4" w:hRule="atLeast"/>
          <w:jc w:val="center"/>
        </w:trPr>
        <w:tc>
          <w:tcPr>
            <w:tcW w:w="727" w:type="pct"/>
            <w:vAlign w:val="center"/>
          </w:tcPr>
          <w:p>
            <w:pPr>
              <w:adjustRightInd w:val="0"/>
              <w:snapToGrid w:val="0"/>
              <w:spacing w:line="360" w:lineRule="auto"/>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规划环境影响</w:t>
            </w:r>
          </w:p>
          <w:p>
            <w:pPr>
              <w:adjustRightInd w:val="0"/>
              <w:snapToGrid w:val="0"/>
              <w:spacing w:line="360" w:lineRule="auto"/>
              <w:jc w:val="center"/>
              <w:rPr>
                <w:rFonts w:hint="default" w:ascii="Times New Roman" w:hAnsi="Times New Roman" w:cs="Times New Roman" w:eastAsiaTheme="minorEastAsia"/>
                <w:kern w:val="0"/>
                <w:sz w:val="21"/>
                <w:szCs w:val="21"/>
              </w:rPr>
            </w:pPr>
            <w:r>
              <w:rPr>
                <w:rFonts w:hint="default" w:ascii="Times New Roman" w:hAnsi="Times New Roman" w:cs="Times New Roman" w:eastAsiaTheme="minorEastAsia"/>
                <w:sz w:val="21"/>
                <w:szCs w:val="21"/>
              </w:rPr>
              <w:t>评价情况</w:t>
            </w:r>
          </w:p>
        </w:tc>
        <w:tc>
          <w:tcPr>
            <w:tcW w:w="4272" w:type="pct"/>
            <w:gridSpan w:val="5"/>
            <w:vAlign w:val="center"/>
          </w:tcPr>
          <w:p>
            <w:pPr>
              <w:autoSpaceDE w:val="0"/>
              <w:autoSpaceDN w:val="0"/>
              <w:adjustRightInd w:val="0"/>
              <w:snapToGrid w:val="0"/>
              <w:spacing w:line="360" w:lineRule="auto"/>
              <w:rPr>
                <w:rFonts w:hint="eastAsia" w:ascii="Times New Roman" w:hAnsi="Times New Roman" w:cs="Times New Roman" w:eastAsiaTheme="minorEastAsia"/>
                <w:sz w:val="21"/>
                <w:szCs w:val="21"/>
                <w:lang w:val="en-US" w:eastAsia="zh-CN"/>
              </w:rPr>
            </w:pPr>
            <w:r>
              <w:rPr>
                <w:rFonts w:hint="eastAsia" w:cs="Times New Roman" w:eastAsiaTheme="minorEastAsia"/>
                <w:sz w:val="21"/>
                <w:szCs w:val="21"/>
                <w:lang w:val="en-US" w:eastAsia="zh-CN"/>
              </w:rPr>
              <w:t>/</w:t>
            </w:r>
          </w:p>
        </w:tc>
      </w:tr>
    </w:tbl>
    <w:p>
      <w:pPr>
        <w:autoSpaceDE w:val="0"/>
        <w:autoSpaceDN w:val="0"/>
        <w:adjustRightInd w:val="0"/>
        <w:snapToGrid w:val="0"/>
        <w:spacing w:line="360" w:lineRule="auto"/>
        <w:jc w:val="center"/>
        <w:rPr>
          <w:kern w:val="0"/>
          <w:szCs w:val="21"/>
        </w:rPr>
      </w:pPr>
      <w:r>
        <w:rPr>
          <w:kern w:val="0"/>
          <w:szCs w:val="21"/>
        </w:rPr>
        <w:br w:type="page"/>
      </w:r>
    </w:p>
    <w:tbl>
      <w:tblPr>
        <w:tblStyle w:val="36"/>
        <w:tblW w:w="4997"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74"/>
        <w:gridCol w:w="938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6" w:hRule="atLeast"/>
          <w:jc w:val="center"/>
        </w:trPr>
        <w:tc>
          <w:tcPr>
            <w:tcW w:w="288" w:type="pct"/>
            <w:vAlign w:val="center"/>
          </w:tcPr>
          <w:p>
            <w:pPr>
              <w:autoSpaceDE w:val="0"/>
              <w:autoSpaceDN w:val="0"/>
              <w:adjustRightInd w:val="0"/>
              <w:snapToGrid w:val="0"/>
              <w:spacing w:line="360" w:lineRule="auto"/>
              <w:jc w:val="center"/>
              <w:rPr>
                <w:kern w:val="0"/>
                <w:szCs w:val="21"/>
              </w:rPr>
            </w:pPr>
            <w:r>
              <w:rPr>
                <w:kern w:val="0"/>
                <w:szCs w:val="21"/>
              </w:rPr>
              <w:t>规划及规划环境影响评价符合性分析</w:t>
            </w:r>
          </w:p>
        </w:tc>
        <w:tc>
          <w:tcPr>
            <w:tcW w:w="4711" w:type="pct"/>
            <w:vAlign w:val="top"/>
          </w:tcPr>
          <w:p>
            <w:pPr>
              <w:autoSpaceDE w:val="0"/>
              <w:autoSpaceDN w:val="0"/>
              <w:adjustRightInd w:val="0"/>
              <w:snapToGrid w:val="0"/>
              <w:spacing w:line="360" w:lineRule="auto"/>
              <w:ind w:firstLine="420" w:firstLineChars="200"/>
              <w:jc w:val="both"/>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规划相符性分析</w:t>
            </w:r>
          </w:p>
          <w:p>
            <w:pPr>
              <w:autoSpaceDE w:val="0"/>
              <w:autoSpaceDN w:val="0"/>
              <w:adjustRightInd w:val="0"/>
              <w:snapToGrid w:val="0"/>
              <w:spacing w:line="360" w:lineRule="auto"/>
              <w:ind w:firstLine="420" w:firstLineChars="200"/>
              <w:jc w:val="both"/>
              <w:rPr>
                <w:color w:val="FF0000"/>
                <w:kern w:val="2"/>
                <w:sz w:val="21"/>
                <w:szCs w:val="21"/>
              </w:rPr>
            </w:pPr>
            <w:r>
              <w:rPr>
                <w:rFonts w:hint="eastAsia" w:ascii="Times New Roman" w:hAnsi="Times New Roman" w:eastAsia="宋体" w:cs="Times New Roman"/>
                <w:sz w:val="21"/>
                <w:szCs w:val="21"/>
              </w:rPr>
              <w:t>本项目位于</w:t>
            </w:r>
            <w:r>
              <w:rPr>
                <w:rFonts w:hint="default" w:ascii="Times New Roman" w:hAnsi="Times New Roman" w:cs="Times New Roman" w:eastAsiaTheme="minorEastAsia"/>
                <w:color w:val="auto"/>
                <w:sz w:val="21"/>
                <w:szCs w:val="21"/>
              </w:rPr>
              <w:t>太仓市</w:t>
            </w:r>
            <w:r>
              <w:rPr>
                <w:rFonts w:hint="default" w:ascii="Times New Roman" w:hAnsi="Times New Roman" w:cs="Times New Roman" w:eastAsiaTheme="minorEastAsia"/>
                <w:color w:val="auto"/>
                <w:sz w:val="21"/>
                <w:szCs w:val="21"/>
                <w:lang w:val="en-US" w:eastAsia="zh-CN"/>
              </w:rPr>
              <w:t>高新区</w:t>
            </w:r>
            <w:r>
              <w:rPr>
                <w:rFonts w:hint="default" w:ascii="Times New Roman" w:hAnsi="Times New Roman" w:cs="Times New Roman" w:eastAsiaTheme="minorEastAsia"/>
                <w:color w:val="auto"/>
                <w:sz w:val="21"/>
                <w:szCs w:val="21"/>
              </w:rPr>
              <w:t>郑和中路376号</w:t>
            </w:r>
            <w:r>
              <w:rPr>
                <w:rFonts w:hint="eastAsia" w:ascii="Times New Roman" w:hAnsi="Times New Roman" w:eastAsia="宋体" w:cs="Times New Roman"/>
                <w:sz w:val="21"/>
                <w:szCs w:val="21"/>
              </w:rPr>
              <w:t>，属于《江苏省太仓高新技术产业开发区控制性详细规划》范围以内。太仓市行政审批局核发的《建设用地规划许可证》(地字第3205852024YG0015416号)已明确本项目土地用途为</w:t>
            </w:r>
            <w:r>
              <w:rPr>
                <w:rFonts w:hint="eastAsia" w:cs="Times New Roman"/>
                <w:sz w:val="21"/>
                <w:szCs w:val="21"/>
                <w:highlight w:val="none"/>
                <w:lang w:val="en-US" w:eastAsia="zh-CN"/>
              </w:rPr>
              <w:t>商住用地</w:t>
            </w:r>
            <w:r>
              <w:rPr>
                <w:rFonts w:hint="eastAsia" w:ascii="Times New Roman" w:hAnsi="Times New Roman" w:eastAsia="宋体" w:cs="Times New Roman"/>
                <w:sz w:val="21"/>
                <w:szCs w:val="21"/>
              </w:rPr>
              <w:t>。因此，本项目与规划相符。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88" w:type="pct"/>
            <w:vAlign w:val="center"/>
          </w:tcPr>
          <w:p>
            <w:pPr>
              <w:autoSpaceDE w:val="0"/>
              <w:autoSpaceDN w:val="0"/>
              <w:adjustRightInd w:val="0"/>
              <w:snapToGrid w:val="0"/>
              <w:spacing w:line="360" w:lineRule="auto"/>
              <w:jc w:val="center"/>
              <w:rPr>
                <w:rFonts w:ascii="宋体" w:hAnsi="宋体"/>
                <w:kern w:val="0"/>
                <w:szCs w:val="21"/>
              </w:rPr>
            </w:pPr>
          </w:p>
          <w:p>
            <w:pPr>
              <w:autoSpaceDE w:val="0"/>
              <w:autoSpaceDN w:val="0"/>
              <w:adjustRightInd w:val="0"/>
              <w:snapToGrid w:val="0"/>
              <w:spacing w:line="360" w:lineRule="auto"/>
              <w:jc w:val="center"/>
              <w:rPr>
                <w:rFonts w:ascii="宋体" w:hAnsi="宋体"/>
                <w:kern w:val="0"/>
                <w:szCs w:val="21"/>
              </w:rPr>
            </w:pPr>
            <w:r>
              <w:rPr>
                <w:rFonts w:ascii="宋体" w:hAnsi="宋体"/>
                <w:kern w:val="0"/>
                <w:szCs w:val="21"/>
              </w:rPr>
              <w:t>其他符合性分析</w:t>
            </w:r>
          </w:p>
        </w:tc>
        <w:tc>
          <w:tcPr>
            <w:tcW w:w="4711" w:type="pct"/>
            <w:vAlign w:val="center"/>
          </w:tcPr>
          <w:p>
            <w:pPr>
              <w:numPr>
                <w:ilvl w:val="0"/>
                <w:numId w:val="0"/>
              </w:numPr>
              <w:spacing w:line="360" w:lineRule="auto"/>
              <w:ind w:firstLine="422" w:firstLineChars="200"/>
              <w:outlineLvl w:val="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lang w:val="en-US" w:eastAsia="zh-CN"/>
              </w:rPr>
              <w:t>1、</w:t>
            </w:r>
            <w:r>
              <w:rPr>
                <w:rFonts w:hint="default" w:ascii="Times New Roman" w:hAnsi="Times New Roman" w:eastAsia="宋体" w:cs="Times New Roman"/>
                <w:b/>
                <w:sz w:val="21"/>
                <w:szCs w:val="21"/>
              </w:rPr>
              <w:t>产业政策相符性分析</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本项目属于</w:t>
            </w:r>
            <w:r>
              <w:rPr>
                <w:rFonts w:hint="default" w:ascii="Times New Roman" w:hAnsi="Times New Roman" w:eastAsia="宋体" w:cs="Times New Roman"/>
                <w:color w:val="auto"/>
                <w:sz w:val="21"/>
                <w:szCs w:val="21"/>
                <w:lang w:val="en-US" w:eastAsia="zh-CN"/>
              </w:rPr>
              <w:t>宠物医院服务</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本项目不属于国家《产业结构调整指导目录</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2024年本</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》中限制和淘汰类项目；不属于《苏州市产业发展导向目录》（苏府[2007]129号文）以及《苏州市当前限制和禁止供地项目目录》中淘汰和限制类项目。</w:t>
            </w:r>
          </w:p>
          <w:p>
            <w:pPr>
              <w:autoSpaceDE w:val="0"/>
              <w:autoSpaceDN w:val="0"/>
              <w:adjustRightInd w:val="0"/>
              <w:snapToGrid w:val="0"/>
              <w:spacing w:line="360" w:lineRule="auto"/>
              <w:ind w:firstLine="630" w:firstLineChars="3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另外，本项目不属于国家《限制用地项目目录（2012年本）》和《禁止用地项目目录（2012年本）》的限制和禁止范围。</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因此项目的建设符合国家和地方的有关产业政策要求。</w:t>
            </w:r>
          </w:p>
          <w:p>
            <w:pPr>
              <w:spacing w:line="360" w:lineRule="auto"/>
              <w:ind w:firstLine="422" w:firstLineChars="20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2、与《江苏省太湖水污染防治条例》</w:t>
            </w:r>
            <w:r>
              <w:rPr>
                <w:rFonts w:hint="default" w:ascii="Times New Roman" w:hAnsi="Times New Roman" w:eastAsia="宋体" w:cs="Times New Roman"/>
                <w:b/>
                <w:sz w:val="21"/>
                <w:szCs w:val="21"/>
                <w:lang w:eastAsia="zh-CN"/>
              </w:rPr>
              <w:t>（</w:t>
            </w:r>
            <w:r>
              <w:rPr>
                <w:rFonts w:hint="default" w:ascii="Times New Roman" w:hAnsi="Times New Roman" w:eastAsia="宋体" w:cs="Times New Roman"/>
                <w:b/>
                <w:sz w:val="21"/>
                <w:szCs w:val="21"/>
              </w:rPr>
              <w:t>2021年9月29日修正）、《太湖流域管理条例》（国务院令第604号）相符性分析</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①与《江苏省太湖水污染防治条例》（2021年9月29日修正）的相符性根据《江苏省太湖水污染防治条例》（2021年9月29日修正）规定，第四十三条，太湖流域一、二、三级保护区禁止下列行为：</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（一）新建、改建、扩建化学制浆造纸、制革、酿造、染料、印染、电镀以及其他排放含磷、氮等污染物的企业和项目，城镇污水集中处理等环境基础设施项目和第四十六条规定的情形除外；</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（二）销售、使用含磷洗涤用品；</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（三）向水体排放或者倾倒油类、酸液、碱液、剧毒废渣废液、含放射性废渣废液、含病原体污水、工业废渣以及其他废弃物；</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（四）在水体清洗装贮过油类或者有毒有害污染物的车辆、船舶和容器等；</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（五）使用农药等有毒物毒杀水生生物；</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（六）向水体直接排放人畜粪便、倾倒垃圾；</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（七）围湖造地；</w:t>
            </w:r>
          </w:p>
          <w:p>
            <w:pPr>
              <w:spacing w:line="360" w:lineRule="auto"/>
              <w:ind w:left="420" w:left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（八）违法开山采石，或者进行破坏林木、植被、水生生物的活动；</w:t>
            </w:r>
          </w:p>
          <w:p>
            <w:pPr>
              <w:spacing w:line="360" w:lineRule="auto"/>
              <w:ind w:left="420" w:left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（九）法律、法规禁止的其他行为。</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本项目位于</w:t>
            </w:r>
            <w:r>
              <w:rPr>
                <w:rFonts w:hint="default" w:ascii="Times New Roman" w:hAnsi="Times New Roman" w:eastAsia="宋体" w:cs="Times New Roman"/>
                <w:color w:val="auto"/>
                <w:sz w:val="21"/>
                <w:szCs w:val="21"/>
              </w:rPr>
              <w:t>太仓市</w:t>
            </w:r>
            <w:r>
              <w:rPr>
                <w:rFonts w:hint="default" w:ascii="Times New Roman" w:hAnsi="Times New Roman" w:eastAsia="宋体" w:cs="Times New Roman"/>
                <w:color w:val="auto"/>
                <w:sz w:val="21"/>
                <w:szCs w:val="21"/>
                <w:lang w:val="en-US" w:eastAsia="zh-CN"/>
              </w:rPr>
              <w:t>高新区</w:t>
            </w:r>
            <w:r>
              <w:rPr>
                <w:rFonts w:hint="default" w:ascii="Times New Roman" w:hAnsi="Times New Roman" w:eastAsia="宋体" w:cs="Times New Roman"/>
                <w:color w:val="auto"/>
                <w:sz w:val="21"/>
                <w:szCs w:val="21"/>
              </w:rPr>
              <w:t>郑和中路376号20幢商铺06室</w:t>
            </w:r>
            <w:r>
              <w:rPr>
                <w:rFonts w:hint="default" w:ascii="Times New Roman" w:hAnsi="Times New Roman" w:eastAsia="宋体" w:cs="Times New Roman"/>
                <w:sz w:val="21"/>
                <w:szCs w:val="21"/>
              </w:rPr>
              <w:t>，距离太湖</w:t>
            </w:r>
            <w:r>
              <w:rPr>
                <w:rFonts w:hint="default" w:ascii="Times New Roman" w:hAnsi="Times New Roman" w:eastAsia="宋体" w:cs="Times New Roman"/>
                <w:sz w:val="21"/>
                <w:szCs w:val="21"/>
                <w:lang w:val="en-US" w:eastAsia="zh-CN"/>
              </w:rPr>
              <w:t>54.3</w:t>
            </w:r>
            <w:r>
              <w:rPr>
                <w:rFonts w:hint="default" w:ascii="Times New Roman" w:hAnsi="Times New Roman" w:eastAsia="宋体" w:cs="Times New Roman"/>
                <w:sz w:val="21"/>
                <w:szCs w:val="21"/>
              </w:rPr>
              <w:t>公里，根据《省政府办公厅关于公布江苏省太湖流域三级保护区范围的通知》（苏政办发</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2012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221号），本项目所在地属于太湖流域三级保护区范围。</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本项目为O8222宠物医院服务，不在上述禁止和限制行业范围内；</w:t>
            </w:r>
            <w:r>
              <w:rPr>
                <w:rFonts w:hint="default" w:ascii="Times New Roman" w:hAnsi="Times New Roman" w:eastAsia="宋体" w:cs="Times New Roman"/>
                <w:bCs/>
                <w:kern w:val="0"/>
                <w:sz w:val="21"/>
                <w:szCs w:val="21"/>
              </w:rPr>
              <w:t>项目无含氮、磷污染物生产废水外排</w:t>
            </w:r>
            <w:r>
              <w:rPr>
                <w:rFonts w:hint="default" w:ascii="Times New Roman" w:hAnsi="Times New Roman" w:eastAsia="宋体" w:cs="Times New Roman"/>
                <w:bCs/>
                <w:kern w:val="0"/>
                <w:sz w:val="21"/>
                <w:szCs w:val="21"/>
                <w:lang w:eastAsia="zh-CN"/>
              </w:rPr>
              <w:t>，</w:t>
            </w:r>
            <w:r>
              <w:rPr>
                <w:rFonts w:hint="default" w:ascii="Times New Roman" w:hAnsi="Times New Roman" w:eastAsia="宋体" w:cs="Times New Roman"/>
                <w:bCs/>
                <w:kern w:val="0"/>
                <w:sz w:val="21"/>
                <w:szCs w:val="21"/>
                <w:lang w:val="en-US" w:eastAsia="zh-CN"/>
              </w:rPr>
              <w:t>产生的少量医疗废水消毒处理后和生活污水一并外排</w:t>
            </w:r>
            <w:r>
              <w:rPr>
                <w:rFonts w:hint="default" w:ascii="Times New Roman" w:hAnsi="Times New Roman" w:eastAsia="宋体" w:cs="Times New Roman"/>
                <w:sz w:val="21"/>
                <w:szCs w:val="21"/>
              </w:rPr>
              <w:t>。因此，本项目符合《江苏省太湖水污染防治条例（2021年9月29日修正）》中的相关要求。</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②与《太湖流域管理条例》的相符性</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根据《太湖流域管理条例》（国务院令第604号）：</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第二十八条排污单位排放水污染物，不得超过经核定的水污染物排放总量，并应当按照规定设置便于检查、采样的规范化排污口，悬挂标志牌；不得私设暗管或者采取其他规避监管的方式排放水污染物。</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禁止在太湖流域设置不符合国家产业政策和水环境综合治理要求的造纸、制革、酒精、淀粉、冶金、酿造、印染、电镀等排放水污染物的生产项目，现有的生产项目不能实现达标排放的，应当依法关闭。</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第二十九条新孟河、望虞河以外的其他主要入太湖河道，自河口1万米上溯至5万米河道岸线内及其岸线两侧各1000米范围内，禁止下列行为：</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（一）新建、扩建化工、医药生产项目；</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（二）新建、扩建污水集中处理设施排污口以外的排污口；</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（三）扩大水产养殖规模。</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第三十条太湖岸线内和岸线周边5000米范围内，淀山湖岸线内和岸线周边2000米范围内，太浦河、新孟河、望虞河岸线内和岸线两侧各1000米范围内，其他主要入太湖河道自河口上溯至1万米河道岸线内及其岸线两侧各1000米范围内，禁止下列行为：</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（一）设置剧毒物质、危险化学品的贮存、输送设施和废物回收场、垃圾场；</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（二）设置水上餐饮经营设施；</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（三）技改高尔夫球场；</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（四）技改畜禽养殖场；</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（五）技改向水体排放污染物的建设项目；</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（六）本条例第二十九条规定的行为。</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本项目为O8222宠物医院服务，不在《太湖流域管理条例》（国务院令第604号）中规定的禁止建设项目之列。因此，本项目符合《太湖流域管理条例》（国务院令第604号）的相关规定。</w:t>
            </w:r>
          </w:p>
          <w:p>
            <w:pPr>
              <w:autoSpaceDE w:val="0"/>
              <w:autoSpaceDN w:val="0"/>
              <w:adjustRightInd w:val="0"/>
              <w:snapToGrid w:val="0"/>
              <w:spacing w:line="360" w:lineRule="auto"/>
              <w:ind w:firstLine="422" w:firstLineChars="20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3、与《江苏省生态空间管控区域规划》和《江苏省国家级生态保护红线规划》相符性分析</w:t>
            </w:r>
          </w:p>
          <w:p>
            <w:pPr>
              <w:autoSpaceDE w:val="0"/>
              <w:autoSpaceDN w:val="0"/>
              <w:adjustRightInd w:val="0"/>
              <w:snapToGrid w:val="0"/>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根据《江苏省国家级生态保护红线规划》（苏政发</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2018</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74号）、《江苏省生态空间管控区域规划（苏政发</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2020</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1号）》及《太仓市2021年度生态空间管控区域优化调整方案》，</w:t>
            </w:r>
            <w:r>
              <w:rPr>
                <w:rFonts w:hint="default" w:ascii="Times New Roman" w:hAnsi="Times New Roman" w:eastAsia="宋体" w:cs="Times New Roman"/>
                <w:bCs/>
                <w:kern w:val="0"/>
                <w:sz w:val="21"/>
                <w:szCs w:val="21"/>
              </w:rPr>
              <w:t>与本项目江苏省生态空间管控区域为浏河（太仓市清水通道维护区）及最近的国家级生态红线为</w:t>
            </w:r>
            <w:r>
              <w:rPr>
                <w:rFonts w:hint="default" w:ascii="Times New Roman" w:hAnsi="Times New Roman" w:eastAsia="宋体" w:cs="Times New Roman"/>
                <w:sz w:val="21"/>
                <w:szCs w:val="21"/>
              </w:rPr>
              <w:t>太仓金仓湖省级湿地公园，项目所在区域的国家级生态红线及江苏省生态空间管控区域见下表。</w:t>
            </w:r>
          </w:p>
          <w:p>
            <w:pPr>
              <w:autoSpaceDE w:val="0"/>
              <w:autoSpaceDN w:val="0"/>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表1-2</w:t>
            </w:r>
            <w:r>
              <w:rPr>
                <w:rFonts w:hint="default" w:ascii="Times New Roman" w:hAnsi="Times New Roman" w:eastAsia="宋体" w:cs="Times New Roman"/>
                <w:b/>
                <w:bCs/>
                <w:sz w:val="21"/>
                <w:szCs w:val="21"/>
              </w:rPr>
              <w:tab/>
            </w:r>
            <w:r>
              <w:rPr>
                <w:rFonts w:hint="default" w:ascii="Times New Roman" w:hAnsi="Times New Roman" w:eastAsia="宋体" w:cs="Times New Roman"/>
                <w:b/>
                <w:bCs/>
                <w:sz w:val="21"/>
                <w:szCs w:val="21"/>
              </w:rPr>
              <w:t>本项目附近的江苏省生态空间管控区域</w:t>
            </w:r>
          </w:p>
          <w:tbl>
            <w:tblPr>
              <w:tblStyle w:val="3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696"/>
              <w:gridCol w:w="700"/>
              <w:gridCol w:w="1666"/>
              <w:gridCol w:w="1607"/>
              <w:gridCol w:w="760"/>
              <w:gridCol w:w="740"/>
              <w:gridCol w:w="760"/>
              <w:gridCol w:w="772"/>
              <w:gridCol w:w="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02" w:type="pct"/>
                  <w:vMerge w:val="restart"/>
                  <w:vAlign w:val="center"/>
                </w:tcPr>
                <w:p>
                  <w:pPr>
                    <w:autoSpaceDE w:val="0"/>
                    <w:autoSpaceDN w:val="0"/>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生态空间保护区域名称</w:t>
                  </w:r>
                </w:p>
              </w:tc>
              <w:tc>
                <w:tcPr>
                  <w:tcW w:w="380" w:type="pct"/>
                  <w:vMerge w:val="restart"/>
                  <w:vAlign w:val="center"/>
                </w:tcPr>
                <w:p>
                  <w:pPr>
                    <w:autoSpaceDE w:val="0"/>
                    <w:autoSpaceDN w:val="0"/>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县（市区）</w:t>
                  </w:r>
                </w:p>
              </w:tc>
              <w:tc>
                <w:tcPr>
                  <w:tcW w:w="382" w:type="pct"/>
                  <w:vMerge w:val="restart"/>
                  <w:vAlign w:val="center"/>
                </w:tcPr>
                <w:p>
                  <w:pPr>
                    <w:autoSpaceDE w:val="0"/>
                    <w:autoSpaceDN w:val="0"/>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主导生态功能</w:t>
                  </w:r>
                </w:p>
              </w:tc>
              <w:tc>
                <w:tcPr>
                  <w:tcW w:w="1787" w:type="pct"/>
                  <w:gridSpan w:val="2"/>
                  <w:vAlign w:val="center"/>
                </w:tcPr>
                <w:p>
                  <w:pPr>
                    <w:autoSpaceDE w:val="0"/>
                    <w:autoSpaceDN w:val="0"/>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范围</w:t>
                  </w:r>
                </w:p>
              </w:tc>
              <w:tc>
                <w:tcPr>
                  <w:tcW w:w="1234" w:type="pct"/>
                  <w:gridSpan w:val="3"/>
                  <w:vAlign w:val="center"/>
                </w:tcPr>
                <w:p>
                  <w:pPr>
                    <w:autoSpaceDE w:val="0"/>
                    <w:autoSpaceDN w:val="0"/>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面积（平方公里）</w:t>
                  </w:r>
                </w:p>
              </w:tc>
              <w:tc>
                <w:tcPr>
                  <w:tcW w:w="421" w:type="pct"/>
                  <w:vMerge w:val="restart"/>
                  <w:vAlign w:val="center"/>
                </w:tcPr>
                <w:p>
                  <w:pPr>
                    <w:autoSpaceDE w:val="0"/>
                    <w:autoSpaceDN w:val="0"/>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相对方位与距离</w:t>
                  </w:r>
                </w:p>
              </w:tc>
              <w:tc>
                <w:tcPr>
                  <w:tcW w:w="291" w:type="pct"/>
                  <w:vMerge w:val="restart"/>
                </w:tcPr>
                <w:p>
                  <w:pPr>
                    <w:autoSpaceDE w:val="0"/>
                    <w:autoSpaceDN w:val="0"/>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是否</w:t>
                  </w:r>
                </w:p>
                <w:p>
                  <w:pPr>
                    <w:autoSpaceDE w:val="0"/>
                    <w:autoSpaceDN w:val="0"/>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在管</w:t>
                  </w:r>
                </w:p>
                <w:p>
                  <w:pPr>
                    <w:autoSpaceDE w:val="0"/>
                    <w:autoSpaceDN w:val="0"/>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控区</w:t>
                  </w:r>
                </w:p>
                <w:p>
                  <w:pPr>
                    <w:autoSpaceDE w:val="0"/>
                    <w:autoSpaceDN w:val="0"/>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trPr>
              <w:tc>
                <w:tcPr>
                  <w:tcW w:w="502" w:type="pct"/>
                  <w:vMerge w:val="continue"/>
                  <w:vAlign w:val="center"/>
                </w:tcPr>
                <w:p>
                  <w:pPr>
                    <w:autoSpaceDE w:val="0"/>
                    <w:autoSpaceDN w:val="0"/>
                    <w:adjustRightInd w:val="0"/>
                    <w:snapToGrid w:val="0"/>
                    <w:jc w:val="center"/>
                    <w:rPr>
                      <w:rFonts w:hint="default" w:ascii="Times New Roman" w:hAnsi="Times New Roman" w:eastAsia="宋体" w:cs="Times New Roman"/>
                      <w:sz w:val="18"/>
                      <w:szCs w:val="18"/>
                    </w:rPr>
                  </w:pPr>
                </w:p>
              </w:tc>
              <w:tc>
                <w:tcPr>
                  <w:tcW w:w="380" w:type="pct"/>
                  <w:vMerge w:val="continue"/>
                  <w:vAlign w:val="center"/>
                </w:tcPr>
                <w:p>
                  <w:pPr>
                    <w:autoSpaceDE w:val="0"/>
                    <w:autoSpaceDN w:val="0"/>
                    <w:adjustRightInd w:val="0"/>
                    <w:snapToGrid w:val="0"/>
                    <w:jc w:val="center"/>
                    <w:rPr>
                      <w:rFonts w:hint="default" w:ascii="Times New Roman" w:hAnsi="Times New Roman" w:eastAsia="宋体" w:cs="Times New Roman"/>
                      <w:sz w:val="18"/>
                      <w:szCs w:val="18"/>
                    </w:rPr>
                  </w:pPr>
                </w:p>
              </w:tc>
              <w:tc>
                <w:tcPr>
                  <w:tcW w:w="382" w:type="pct"/>
                  <w:vMerge w:val="continue"/>
                  <w:vAlign w:val="center"/>
                </w:tcPr>
                <w:p>
                  <w:pPr>
                    <w:autoSpaceDE w:val="0"/>
                    <w:autoSpaceDN w:val="0"/>
                    <w:adjustRightInd w:val="0"/>
                    <w:snapToGrid w:val="0"/>
                    <w:jc w:val="center"/>
                    <w:rPr>
                      <w:rFonts w:hint="default" w:ascii="Times New Roman" w:hAnsi="Times New Roman" w:eastAsia="宋体" w:cs="Times New Roman"/>
                      <w:sz w:val="18"/>
                      <w:szCs w:val="18"/>
                    </w:rPr>
                  </w:pPr>
                </w:p>
              </w:tc>
              <w:tc>
                <w:tcPr>
                  <w:tcW w:w="910" w:type="pct"/>
                  <w:vAlign w:val="center"/>
                </w:tcPr>
                <w:p>
                  <w:pPr>
                    <w:autoSpaceDE w:val="0"/>
                    <w:autoSpaceDN w:val="0"/>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国家级生态保护红线范围</w:t>
                  </w:r>
                </w:p>
              </w:tc>
              <w:tc>
                <w:tcPr>
                  <w:tcW w:w="877" w:type="pct"/>
                  <w:vAlign w:val="center"/>
                </w:tcPr>
                <w:p>
                  <w:pPr>
                    <w:autoSpaceDE w:val="0"/>
                    <w:autoSpaceDN w:val="0"/>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生态空间管控区域范围</w:t>
                  </w:r>
                </w:p>
              </w:tc>
              <w:tc>
                <w:tcPr>
                  <w:tcW w:w="415" w:type="pct"/>
                  <w:vAlign w:val="center"/>
                </w:tcPr>
                <w:p>
                  <w:pPr>
                    <w:autoSpaceDE w:val="0"/>
                    <w:autoSpaceDN w:val="0"/>
                    <w:adjustRightInd w:val="0"/>
                    <w:snapToGrid w:val="0"/>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国家级生态保护红线面积</w:t>
                  </w:r>
                </w:p>
              </w:tc>
              <w:tc>
                <w:tcPr>
                  <w:tcW w:w="404" w:type="pct"/>
                  <w:vAlign w:val="center"/>
                </w:tcPr>
                <w:p>
                  <w:pPr>
                    <w:autoSpaceDE w:val="0"/>
                    <w:autoSpaceDN w:val="0"/>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生态空间管控区域面积</w:t>
                  </w:r>
                </w:p>
              </w:tc>
              <w:tc>
                <w:tcPr>
                  <w:tcW w:w="415" w:type="pct"/>
                  <w:vAlign w:val="center"/>
                </w:tcPr>
                <w:p>
                  <w:pPr>
                    <w:autoSpaceDE w:val="0"/>
                    <w:autoSpaceDN w:val="0"/>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总面积</w:t>
                  </w:r>
                </w:p>
              </w:tc>
              <w:tc>
                <w:tcPr>
                  <w:tcW w:w="421" w:type="pct"/>
                  <w:vMerge w:val="continue"/>
                </w:tcPr>
                <w:p>
                  <w:pPr>
                    <w:autoSpaceDE w:val="0"/>
                    <w:autoSpaceDN w:val="0"/>
                    <w:adjustRightInd w:val="0"/>
                    <w:snapToGrid w:val="0"/>
                    <w:jc w:val="left"/>
                    <w:rPr>
                      <w:rFonts w:hint="default" w:ascii="Times New Roman" w:hAnsi="Times New Roman" w:eastAsia="宋体" w:cs="Times New Roman"/>
                      <w:sz w:val="18"/>
                      <w:szCs w:val="18"/>
                    </w:rPr>
                  </w:pPr>
                </w:p>
              </w:tc>
              <w:tc>
                <w:tcPr>
                  <w:tcW w:w="291" w:type="pct"/>
                  <w:vMerge w:val="continue"/>
                </w:tcPr>
                <w:p>
                  <w:pPr>
                    <w:autoSpaceDE w:val="0"/>
                    <w:autoSpaceDN w:val="0"/>
                    <w:adjustRightInd w:val="0"/>
                    <w:snapToGrid w:val="0"/>
                    <w:jc w:val="left"/>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1" w:hRule="atLeast"/>
              </w:trPr>
              <w:tc>
                <w:tcPr>
                  <w:tcW w:w="502" w:type="pct"/>
                  <w:vAlign w:val="center"/>
                </w:tcPr>
                <w:p>
                  <w:pPr>
                    <w:pStyle w:val="3"/>
                    <w:bidi w:val="0"/>
                    <w:rPr>
                      <w:rFonts w:hint="default" w:ascii="Times New Roman" w:hAnsi="Times New Roman" w:eastAsia="宋体" w:cs="Times New Roman"/>
                      <w:b/>
                      <w:bCs w:val="0"/>
                      <w:kern w:val="0"/>
                      <w:sz w:val="18"/>
                      <w:szCs w:val="18"/>
                      <w:lang w:val="en-US" w:eastAsia="zh-CN" w:bidi="ar-SA"/>
                    </w:rPr>
                  </w:pPr>
                  <w:r>
                    <w:rPr>
                      <w:rFonts w:hint="default" w:ascii="Times New Roman" w:hAnsi="Times New Roman" w:eastAsia="宋体" w:cs="Times New Roman"/>
                      <w:b w:val="0"/>
                      <w:bCs w:val="0"/>
                      <w:color w:val="000000"/>
                      <w:sz w:val="18"/>
                      <w:szCs w:val="18"/>
                      <w:lang w:val="en-US" w:eastAsia="zh-CN" w:bidi="ar-SA"/>
                    </w:rPr>
                    <w:t>浏河（太仓市）清水通道 维护区</w:t>
                  </w:r>
                </w:p>
              </w:tc>
              <w:tc>
                <w:tcPr>
                  <w:tcW w:w="380"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太 仓 市</w:t>
                  </w:r>
                </w:p>
              </w:tc>
              <w:tc>
                <w:tcPr>
                  <w:tcW w:w="382"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水源 水质 保护</w:t>
                  </w:r>
                </w:p>
              </w:tc>
              <w:tc>
                <w:tcPr>
                  <w:tcW w:w="910"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w:t>
                  </w:r>
                </w:p>
              </w:tc>
              <w:tc>
                <w:tcPr>
                  <w:tcW w:w="877"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浏河</w:t>
                  </w:r>
                  <w:r>
                    <w:rPr>
                      <w:rFonts w:hint="default" w:ascii="Times New Roman" w:hAnsi="Times New Roman" w:eastAsia="宋体" w:cs="Times New Roman"/>
                      <w:sz w:val="18"/>
                      <w:szCs w:val="18"/>
                      <w:highlight w:val="none"/>
                    </w:rPr>
                    <w:t>及其两岸各100米范围。（其中 G346至浏河口之间河道两岸、G204 往东至上海交界处之间河道南岸范围 为30米）</w:t>
                  </w:r>
                </w:p>
              </w:tc>
              <w:tc>
                <w:tcPr>
                  <w:tcW w:w="415"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kern w:val="0"/>
                      <w:sz w:val="18"/>
                      <w:szCs w:val="18"/>
                      <w:highlight w:val="none"/>
                    </w:rPr>
                    <w:t>/</w:t>
                  </w:r>
                </w:p>
              </w:tc>
              <w:tc>
                <w:tcPr>
                  <w:tcW w:w="404"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kern w:val="0"/>
                      <w:sz w:val="18"/>
                      <w:szCs w:val="18"/>
                      <w:highlight w:val="none"/>
                      <w:lang w:val="en-US" w:eastAsia="zh-CN"/>
                    </w:rPr>
                    <w:t>4.31</w:t>
                  </w:r>
                </w:p>
              </w:tc>
              <w:tc>
                <w:tcPr>
                  <w:tcW w:w="415"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highlight w:val="none"/>
                      <w:lang w:val="en-US" w:eastAsia="zh-CN" w:bidi="ar-SA"/>
                    </w:rPr>
                  </w:pPr>
                  <w:r>
                    <w:rPr>
                      <w:rFonts w:hint="default" w:ascii="Times New Roman" w:hAnsi="Times New Roman" w:eastAsia="宋体" w:cs="Times New Roman"/>
                      <w:bCs/>
                      <w:kern w:val="0"/>
                      <w:sz w:val="18"/>
                      <w:szCs w:val="18"/>
                      <w:highlight w:val="none"/>
                      <w:lang w:val="en-US" w:eastAsia="zh-CN"/>
                    </w:rPr>
                    <w:t>4.31</w:t>
                  </w:r>
                </w:p>
              </w:tc>
              <w:tc>
                <w:tcPr>
                  <w:tcW w:w="421"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lang w:val="en-US" w:eastAsia="zh-CN" w:bidi="ar-SA"/>
                    </w:rPr>
                    <w:t>南侧2.7km</w:t>
                  </w:r>
                </w:p>
              </w:tc>
              <w:tc>
                <w:tcPr>
                  <w:tcW w:w="291"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1" w:hRule="atLeast"/>
              </w:trPr>
              <w:tc>
                <w:tcPr>
                  <w:tcW w:w="502"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sz w:val="18"/>
                      <w:szCs w:val="18"/>
                    </w:rPr>
                    <w:t>太仓金仓湖省级湿地公园</w:t>
                  </w:r>
                </w:p>
              </w:tc>
              <w:tc>
                <w:tcPr>
                  <w:tcW w:w="380"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color w:val="000000"/>
                      <w:kern w:val="0"/>
                      <w:sz w:val="18"/>
                      <w:szCs w:val="18"/>
                    </w:rPr>
                    <w:t>太 仓 市</w:t>
                  </w:r>
                </w:p>
              </w:tc>
              <w:tc>
                <w:tcPr>
                  <w:tcW w:w="382" w:type="pct"/>
                  <w:vAlign w:val="center"/>
                </w:tcPr>
                <w:p>
                  <w:pPr>
                    <w:keepNext w:val="0"/>
                    <w:keepLines w:val="0"/>
                    <w:widowControl/>
                    <w:suppressLineNumbers w:val="0"/>
                    <w:jc w:val="left"/>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rPr>
                    <w:t xml:space="preserve">湿地公园的湿地保 </w:t>
                  </w:r>
                </w:p>
                <w:p>
                  <w:pPr>
                    <w:keepNext w:val="0"/>
                    <w:keepLines w:val="0"/>
                    <w:widowControl/>
                    <w:suppressLineNumbers w:val="0"/>
                    <w:jc w:val="left"/>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rPr>
                    <w:t>育区和恢复重建区</w:t>
                  </w:r>
                </w:p>
                <w:p>
                  <w:pPr>
                    <w:autoSpaceDE w:val="0"/>
                    <w:autoSpaceDN w:val="0"/>
                    <w:adjustRightInd w:val="0"/>
                    <w:snapToGrid w:val="0"/>
                    <w:jc w:val="center"/>
                    <w:rPr>
                      <w:rFonts w:hint="default" w:ascii="Times New Roman" w:hAnsi="Times New Roman" w:eastAsia="宋体" w:cs="Times New Roman"/>
                      <w:bCs/>
                      <w:kern w:val="0"/>
                      <w:sz w:val="18"/>
                      <w:szCs w:val="18"/>
                      <w:lang w:val="en-US" w:eastAsia="zh-CN" w:bidi="ar-SA"/>
                    </w:rPr>
                  </w:pPr>
                </w:p>
              </w:tc>
              <w:tc>
                <w:tcPr>
                  <w:tcW w:w="910" w:type="pct"/>
                  <w:vAlign w:val="center"/>
                </w:tcPr>
                <w:p>
                  <w:pPr>
                    <w:keepNext w:val="0"/>
                    <w:keepLines w:val="0"/>
                    <w:widowControl/>
                    <w:suppressLineNumbers w:val="0"/>
                    <w:jc w:val="left"/>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rPr>
                    <w:t xml:space="preserve">太仓金仓湖省级湿地公园总体规划中的湿地保育区 </w:t>
                  </w:r>
                </w:p>
                <w:p>
                  <w:pPr>
                    <w:keepNext w:val="0"/>
                    <w:keepLines w:val="0"/>
                    <w:widowControl/>
                    <w:suppressLineNumbers w:val="0"/>
                    <w:jc w:val="left"/>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rPr>
                    <w:t>和恢复重建区</w:t>
                  </w:r>
                </w:p>
                <w:p>
                  <w:pPr>
                    <w:autoSpaceDE w:val="0"/>
                    <w:autoSpaceDN w:val="0"/>
                    <w:adjustRightInd w:val="0"/>
                    <w:snapToGrid w:val="0"/>
                    <w:jc w:val="center"/>
                    <w:rPr>
                      <w:rFonts w:hint="default" w:ascii="Times New Roman" w:hAnsi="Times New Roman" w:eastAsia="宋体" w:cs="Times New Roman"/>
                      <w:bCs/>
                      <w:kern w:val="0"/>
                      <w:sz w:val="18"/>
                      <w:szCs w:val="18"/>
                      <w:lang w:val="en-US" w:eastAsia="zh-CN" w:bidi="ar-SA"/>
                    </w:rPr>
                  </w:pPr>
                </w:p>
              </w:tc>
              <w:tc>
                <w:tcPr>
                  <w:tcW w:w="877"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sz w:val="18"/>
                      <w:szCs w:val="18"/>
                    </w:rPr>
                    <w:t>/</w:t>
                  </w:r>
                </w:p>
              </w:tc>
              <w:tc>
                <w:tcPr>
                  <w:tcW w:w="415"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lang w:val="en-US" w:eastAsia="zh-CN"/>
                    </w:rPr>
                    <w:t>1.99</w:t>
                  </w:r>
                </w:p>
              </w:tc>
              <w:tc>
                <w:tcPr>
                  <w:tcW w:w="404"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w:t>
                  </w:r>
                </w:p>
              </w:tc>
              <w:tc>
                <w:tcPr>
                  <w:tcW w:w="415"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lang w:val="en-US" w:eastAsia="zh-CN"/>
                    </w:rPr>
                    <w:t>1.99</w:t>
                  </w:r>
                </w:p>
              </w:tc>
              <w:tc>
                <w:tcPr>
                  <w:tcW w:w="421"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lang w:val="en-US" w:eastAsia="zh-CN" w:bidi="ar-SA"/>
                    </w:rPr>
                    <w:t>北侧5.5km</w:t>
                  </w:r>
                </w:p>
              </w:tc>
              <w:tc>
                <w:tcPr>
                  <w:tcW w:w="291" w:type="pct"/>
                  <w:vAlign w:val="center"/>
                </w:tcPr>
                <w:p>
                  <w:pPr>
                    <w:autoSpaceDE w:val="0"/>
                    <w:autoSpaceDN w:val="0"/>
                    <w:adjustRightInd w:val="0"/>
                    <w:snapToGrid w:val="0"/>
                    <w:jc w:val="center"/>
                    <w:rPr>
                      <w:rFonts w:hint="default" w:ascii="Times New Roman" w:hAnsi="Times New Roman" w:eastAsia="宋体" w:cs="Times New Roman"/>
                      <w:bCs/>
                      <w:kern w:val="0"/>
                      <w:sz w:val="18"/>
                      <w:szCs w:val="18"/>
                      <w:lang w:val="en-US" w:eastAsia="zh-CN" w:bidi="ar-SA"/>
                    </w:rPr>
                  </w:pPr>
                  <w:r>
                    <w:rPr>
                      <w:rFonts w:hint="default" w:ascii="Times New Roman" w:hAnsi="Times New Roman" w:eastAsia="宋体" w:cs="Times New Roman"/>
                      <w:bCs/>
                      <w:kern w:val="0"/>
                      <w:sz w:val="18"/>
                      <w:szCs w:val="18"/>
                    </w:rPr>
                    <w:t>否</w:t>
                  </w:r>
                </w:p>
              </w:tc>
            </w:tr>
          </w:tbl>
          <w:p>
            <w:pPr>
              <w:autoSpaceDE w:val="0"/>
              <w:autoSpaceDN w:val="0"/>
              <w:adjustRightInd w:val="0"/>
              <w:snapToGrid w:val="0"/>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由上表可知，距离本项目较近的国家级生态红线为太仓金仓湖省级湿地公园（位于本项目北侧</w:t>
            </w:r>
            <w:r>
              <w:rPr>
                <w:rFonts w:hint="default" w:ascii="Times New Roman" w:hAnsi="Times New Roman" w:eastAsia="宋体" w:cs="Times New Roman"/>
                <w:sz w:val="21"/>
                <w:szCs w:val="21"/>
                <w:lang w:val="en-US" w:eastAsia="zh-CN"/>
              </w:rPr>
              <w:t>5.5km</w:t>
            </w:r>
            <w:r>
              <w:rPr>
                <w:rFonts w:hint="default" w:ascii="Times New Roman" w:hAnsi="Times New Roman" w:eastAsia="宋体" w:cs="Times New Roman"/>
                <w:sz w:val="21"/>
                <w:szCs w:val="21"/>
              </w:rPr>
              <w:t>处），距离项目最近的生态空间</w:t>
            </w:r>
            <w:r>
              <w:rPr>
                <w:rFonts w:hint="default" w:ascii="Times New Roman" w:hAnsi="Times New Roman" w:eastAsia="宋体" w:cs="Times New Roman"/>
                <w:sz w:val="21"/>
                <w:szCs w:val="21"/>
                <w:lang w:val="en-US" w:eastAsia="zh-CN"/>
              </w:rPr>
              <w:t>管控</w:t>
            </w:r>
            <w:r>
              <w:rPr>
                <w:rFonts w:hint="default" w:ascii="Times New Roman" w:hAnsi="Times New Roman" w:eastAsia="宋体" w:cs="Times New Roman"/>
                <w:sz w:val="21"/>
                <w:szCs w:val="21"/>
              </w:rPr>
              <w:t>区域为浏河（太仓市）清水通道维护区，位于项目南侧</w:t>
            </w:r>
            <w:r>
              <w:rPr>
                <w:rFonts w:hint="default" w:ascii="Times New Roman" w:hAnsi="Times New Roman" w:eastAsia="宋体" w:cs="Times New Roman"/>
                <w:sz w:val="21"/>
                <w:szCs w:val="21"/>
                <w:lang w:val="en-US" w:eastAsia="zh-CN"/>
              </w:rPr>
              <w:t>2.7</w:t>
            </w:r>
            <w:r>
              <w:rPr>
                <w:rFonts w:hint="default" w:ascii="Times New Roman" w:hAnsi="Times New Roman" w:eastAsia="宋体" w:cs="Times New Roman"/>
                <w:sz w:val="21"/>
                <w:szCs w:val="21"/>
              </w:rPr>
              <w:t>km处，本项目不在国家级生态红线及江苏省生态空间管控区域范围内，与《江苏省生态空间管控区域规划》、《江苏省国家级生态红线规划》及《太仓市2021年度生态空间管控区域优化调整方案》相符。</w:t>
            </w:r>
          </w:p>
          <w:p>
            <w:pPr>
              <w:autoSpaceDE w:val="0"/>
              <w:autoSpaceDN w:val="0"/>
              <w:adjustRightInd w:val="0"/>
              <w:snapToGrid w:val="0"/>
              <w:spacing w:line="360" w:lineRule="auto"/>
              <w:ind w:firstLine="422" w:firstLineChars="200"/>
              <w:jc w:val="lef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4、“三线一单”相符性分析</w:t>
            </w:r>
          </w:p>
          <w:p>
            <w:pPr>
              <w:autoSpaceDE w:val="0"/>
              <w:autoSpaceDN w:val="0"/>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表1-3项目与“三线一单”相符性分析</w:t>
            </w:r>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3262"/>
              <w:gridCol w:w="4150"/>
              <w:gridCol w:w="1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2088" w:type="pct"/>
                  <w:gridSpan w:val="2"/>
                  <w:vAlign w:val="center"/>
                </w:tcPr>
                <w:p>
                  <w:pPr>
                    <w:autoSpaceDE w:val="0"/>
                    <w:autoSpaceDN w:val="0"/>
                    <w:adjustRightInd w:val="0"/>
                    <w:snapToGrid w:val="0"/>
                    <w:spacing w:line="276"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判断依据</w:t>
                  </w:r>
                </w:p>
              </w:tc>
              <w:tc>
                <w:tcPr>
                  <w:tcW w:w="2266" w:type="pct"/>
                  <w:vAlign w:val="center"/>
                </w:tcPr>
                <w:p>
                  <w:pPr>
                    <w:autoSpaceDE w:val="0"/>
                    <w:autoSpaceDN w:val="0"/>
                    <w:adjustRightInd w:val="0"/>
                    <w:snapToGrid w:val="0"/>
                    <w:spacing w:line="276"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本项目相符性分析</w:t>
                  </w:r>
                </w:p>
              </w:tc>
              <w:tc>
                <w:tcPr>
                  <w:tcW w:w="645" w:type="pct"/>
                  <w:vAlign w:val="center"/>
                </w:tcPr>
                <w:p>
                  <w:pPr>
                    <w:autoSpaceDE w:val="0"/>
                    <w:autoSpaceDN w:val="0"/>
                    <w:adjustRightInd w:val="0"/>
                    <w:snapToGrid w:val="0"/>
                    <w:spacing w:line="276"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判定结果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07" w:type="pct"/>
                  <w:vMerge w:val="restar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生态保护红线</w:t>
                  </w:r>
                </w:p>
              </w:tc>
              <w:tc>
                <w:tcPr>
                  <w:tcW w:w="1780"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《江苏省国家级生态保护红线规划》（苏政发</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2018</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74号）、《省政府关于印发江苏省生态空间管控区域规划的通知》（苏政发</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2020</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1号）、《太仓市2021年度生态空间管控区域优化调整方案》（2021年11月）、《江苏省自然资源厅关于太仓市2021年度生态空间管控区域优化调整方案的复函》（苏自然资函</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2021</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1587号）</w:t>
                  </w:r>
                </w:p>
              </w:tc>
              <w:tc>
                <w:tcPr>
                  <w:tcW w:w="2266"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本项目位于太仓市</w:t>
                  </w:r>
                  <w:r>
                    <w:rPr>
                      <w:rFonts w:hint="default" w:ascii="Times New Roman" w:hAnsi="Times New Roman" w:eastAsia="宋体" w:cs="Times New Roman"/>
                      <w:sz w:val="18"/>
                      <w:szCs w:val="18"/>
                      <w:lang w:val="en-US" w:eastAsia="zh-CN"/>
                    </w:rPr>
                    <w:t>高新区</w:t>
                  </w:r>
                  <w:r>
                    <w:rPr>
                      <w:rFonts w:hint="default" w:ascii="Times New Roman" w:hAnsi="Times New Roman" w:eastAsia="宋体" w:cs="Times New Roman"/>
                      <w:sz w:val="18"/>
                      <w:szCs w:val="18"/>
                    </w:rPr>
                    <w:t>郑和中路376号20幢商铺06室，与本项目距离最近的国家级生态红线保护区为项目北侧</w:t>
                  </w:r>
                  <w:r>
                    <w:rPr>
                      <w:rFonts w:hint="default" w:ascii="Times New Roman" w:hAnsi="Times New Roman" w:eastAsia="宋体" w:cs="Times New Roman"/>
                      <w:sz w:val="18"/>
                      <w:szCs w:val="18"/>
                      <w:lang w:val="en-US" w:eastAsia="zh-CN"/>
                    </w:rPr>
                    <w:t>5.5k</w:t>
                  </w:r>
                  <w:r>
                    <w:rPr>
                      <w:rFonts w:hint="default" w:ascii="Times New Roman" w:hAnsi="Times New Roman" w:eastAsia="宋体" w:cs="Times New Roman"/>
                      <w:sz w:val="18"/>
                      <w:szCs w:val="18"/>
                    </w:rPr>
                    <w:t>m的“太仓金仓湖省级湿地公园”；与本项目最近的省级生态空间管控区为位于项目的</w:t>
                  </w:r>
                  <w:r>
                    <w:rPr>
                      <w:rFonts w:hint="default" w:ascii="Times New Roman" w:hAnsi="Times New Roman" w:eastAsia="宋体" w:cs="Times New Roman"/>
                      <w:sz w:val="18"/>
                      <w:szCs w:val="18"/>
                      <w:lang w:val="en-US" w:eastAsia="zh-CN"/>
                    </w:rPr>
                    <w:t>南</w:t>
                  </w:r>
                  <w:r>
                    <w:rPr>
                      <w:rFonts w:hint="default" w:ascii="Times New Roman" w:hAnsi="Times New Roman" w:eastAsia="宋体" w:cs="Times New Roman"/>
                      <w:sz w:val="18"/>
                      <w:szCs w:val="18"/>
                    </w:rPr>
                    <w:t>侧</w:t>
                  </w:r>
                  <w:r>
                    <w:rPr>
                      <w:rFonts w:hint="default" w:ascii="Times New Roman" w:hAnsi="Times New Roman" w:eastAsia="宋体" w:cs="Times New Roman"/>
                      <w:sz w:val="18"/>
                      <w:szCs w:val="18"/>
                      <w:lang w:val="en-US" w:eastAsia="zh-CN"/>
                    </w:rPr>
                    <w:t>2.7k</w:t>
                  </w:r>
                  <w:r>
                    <w:rPr>
                      <w:rFonts w:hint="default" w:ascii="Times New Roman" w:hAnsi="Times New Roman" w:eastAsia="宋体" w:cs="Times New Roman"/>
                      <w:sz w:val="18"/>
                      <w:szCs w:val="18"/>
                    </w:rPr>
                    <w:t>m的</w:t>
                  </w:r>
                  <w:r>
                    <w:rPr>
                      <w:rFonts w:hint="default" w:ascii="Times New Roman" w:hAnsi="Times New Roman" w:eastAsia="宋体" w:cs="Times New Roman"/>
                      <w:sz w:val="18"/>
                      <w:szCs w:val="18"/>
                      <w:lang w:val="en-US" w:eastAsia="zh-CN"/>
                    </w:rPr>
                    <w:t>浏河（太仓市）清水通道维护区</w:t>
                  </w:r>
                  <w:r>
                    <w:rPr>
                      <w:rFonts w:hint="default" w:ascii="Times New Roman" w:hAnsi="Times New Roman" w:eastAsia="宋体" w:cs="Times New Roman"/>
                      <w:sz w:val="18"/>
                      <w:szCs w:val="18"/>
                    </w:rPr>
                    <w:t>。项目评价范围内不涉及国家级生态红线保护区、不涉及太仓市生态空间管控区域，满足生态红线要求。</w:t>
                  </w:r>
                </w:p>
              </w:tc>
              <w:tc>
                <w:tcPr>
                  <w:tcW w:w="645"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07" w:type="pct"/>
                  <w:vMerge w:val="continue"/>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p>
              </w:tc>
              <w:tc>
                <w:tcPr>
                  <w:tcW w:w="1780"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《苏州市“三线一单”生态环境分区管控实施方案》</w:t>
                  </w:r>
                </w:p>
              </w:tc>
              <w:tc>
                <w:tcPr>
                  <w:tcW w:w="2266" w:type="pct"/>
                  <w:vAlign w:val="center"/>
                </w:tcPr>
                <w:p>
                  <w:pPr>
                    <w:wordWrap w:val="0"/>
                    <w:spacing w:line="360" w:lineRule="auto"/>
                    <w:ind w:firstLine="384" w:firstLineChars="200"/>
                    <w:rPr>
                      <w:rFonts w:hint="default" w:ascii="Times New Roman" w:hAnsi="Times New Roman" w:eastAsia="宋体" w:cs="Times New Roman"/>
                      <w:color w:val="FF0000"/>
                      <w:sz w:val="18"/>
                      <w:szCs w:val="18"/>
                    </w:rPr>
                  </w:pPr>
                  <w:r>
                    <w:rPr>
                      <w:rFonts w:hint="default" w:ascii="Times New Roman" w:hAnsi="Times New Roman" w:eastAsia="宋体" w:cs="Times New Roman"/>
                      <w:spacing w:val="6"/>
                      <w:sz w:val="18"/>
                      <w:szCs w:val="18"/>
                      <w:shd w:val="clear" w:color="auto" w:fill="FFFFFF"/>
                    </w:rPr>
                    <w:t>本项目位于太仓市</w:t>
                  </w:r>
                  <w:r>
                    <w:rPr>
                      <w:rFonts w:hint="default" w:ascii="Times New Roman" w:hAnsi="Times New Roman" w:eastAsia="宋体" w:cs="Times New Roman"/>
                      <w:spacing w:val="6"/>
                      <w:sz w:val="18"/>
                      <w:szCs w:val="18"/>
                      <w:shd w:val="clear" w:color="auto" w:fill="FFFFFF"/>
                      <w:lang w:val="en-US" w:eastAsia="zh-CN"/>
                    </w:rPr>
                    <w:t>高新区</w:t>
                  </w:r>
                  <w:r>
                    <w:rPr>
                      <w:rFonts w:hint="default" w:ascii="Times New Roman" w:hAnsi="Times New Roman" w:eastAsia="宋体" w:cs="Times New Roman"/>
                      <w:spacing w:val="6"/>
                      <w:sz w:val="18"/>
                      <w:szCs w:val="18"/>
                      <w:shd w:val="clear" w:color="auto" w:fill="FFFFFF"/>
                    </w:rPr>
                    <w:t>郑和中路376号20幢商铺06室，位于太仓高新技术产业开发区（原太仓港经济开发区（新区）），属于重点管控单元。重点管控单元主要推进产业布局优化、转型升级，不断提高资源利用效率，加强污染物排放控制和环境风险防控，解决突出生态环境问题。本项目行业类别为O8222宠物医院服务，本项目</w:t>
                  </w:r>
                  <w:r>
                    <w:rPr>
                      <w:rFonts w:hint="default" w:ascii="Times New Roman" w:hAnsi="Times New Roman" w:eastAsia="宋体" w:cs="Times New Roman"/>
                      <w:spacing w:val="6"/>
                      <w:sz w:val="18"/>
                      <w:szCs w:val="18"/>
                      <w:shd w:val="clear" w:color="auto" w:fill="FFFFFF"/>
                      <w:lang w:val="en-US" w:eastAsia="zh-CN"/>
                    </w:rPr>
                    <w:t>医疗废水经消毒处理后与生活污水、洗浴污水</w:t>
                  </w:r>
                  <w:r>
                    <w:rPr>
                      <w:rFonts w:hint="default" w:ascii="Times New Roman" w:hAnsi="Times New Roman" w:eastAsia="宋体" w:cs="Times New Roman"/>
                      <w:spacing w:val="6"/>
                      <w:sz w:val="18"/>
                      <w:szCs w:val="18"/>
                      <w:shd w:val="clear" w:color="auto" w:fill="FFFFFF"/>
                    </w:rPr>
                    <w:t>经化粪池预处理后接管至城东污水处理厂集中处理</w:t>
                  </w:r>
                  <w:r>
                    <w:rPr>
                      <w:rFonts w:hint="default" w:ascii="Times New Roman" w:hAnsi="Times New Roman" w:eastAsia="宋体" w:cs="Times New Roman"/>
                      <w:spacing w:val="6"/>
                      <w:sz w:val="18"/>
                      <w:szCs w:val="18"/>
                      <w:shd w:val="clear" w:color="auto" w:fill="FFFFFF"/>
                      <w:lang w:eastAsia="zh-CN"/>
                    </w:rPr>
                    <w:t>，</w:t>
                  </w:r>
                  <w:r>
                    <w:rPr>
                      <w:rFonts w:hint="default" w:ascii="Times New Roman" w:hAnsi="Times New Roman" w:eastAsia="宋体" w:cs="Times New Roman"/>
                      <w:spacing w:val="6"/>
                      <w:sz w:val="18"/>
                      <w:szCs w:val="18"/>
                      <w:shd w:val="clear" w:color="auto" w:fill="FFFFFF"/>
                    </w:rPr>
                    <w:t>本项目</w:t>
                  </w:r>
                  <w:r>
                    <w:rPr>
                      <w:rFonts w:hint="default" w:ascii="Times New Roman" w:hAnsi="Times New Roman" w:eastAsia="宋体" w:cs="Times New Roman"/>
                      <w:spacing w:val="6"/>
                      <w:sz w:val="18"/>
                      <w:szCs w:val="18"/>
                      <w:shd w:val="clear" w:color="auto" w:fill="FFFFFF"/>
                      <w:lang w:val="en-US" w:eastAsia="zh-CN"/>
                    </w:rPr>
                    <w:t>产生少量恶臭气体经通风系统排放</w:t>
                  </w:r>
                  <w:r>
                    <w:rPr>
                      <w:rFonts w:hint="default" w:ascii="Times New Roman" w:hAnsi="Times New Roman" w:eastAsia="宋体" w:cs="Times New Roman"/>
                      <w:spacing w:val="6"/>
                      <w:sz w:val="18"/>
                      <w:szCs w:val="18"/>
                      <w:shd w:val="clear" w:color="auto" w:fill="FFFFFF"/>
                    </w:rPr>
                    <w:t>。运营期采取相应的污染防治措施后，各类污染物的排放不会改变区域环境功能区质量要求，</w:t>
                  </w:r>
                  <w:r>
                    <w:rPr>
                      <w:rFonts w:hint="default" w:ascii="Times New Roman" w:hAnsi="Times New Roman" w:eastAsia="宋体" w:cs="Times New Roman"/>
                      <w:sz w:val="18"/>
                      <w:szCs w:val="18"/>
                    </w:rPr>
                    <w:t>能维持环境功能区质量现状。</w:t>
                  </w:r>
                </w:p>
              </w:tc>
              <w:tc>
                <w:tcPr>
                  <w:tcW w:w="645"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07"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环境质量底线</w:t>
                  </w:r>
                </w:p>
              </w:tc>
              <w:tc>
                <w:tcPr>
                  <w:tcW w:w="4046" w:type="pct"/>
                  <w:gridSpan w:val="2"/>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pacing w:val="6"/>
                      <w:sz w:val="18"/>
                      <w:szCs w:val="18"/>
                      <w:shd w:val="clear" w:color="auto" w:fill="FFFFFF"/>
                    </w:rPr>
                    <w:t>根据太仓市2022年环境质量监测数据，SO2、NO2、PM10、PM2.5年平均值、CO百分位日均值符合《环境空气质量标准》（GB3095-2012）二级标准，O3日最大8小时平均值超标，因此判定为大气环境不达标区。</w:t>
                  </w:r>
                  <w:r>
                    <w:rPr>
                      <w:rFonts w:hint="default" w:ascii="Times New Roman" w:hAnsi="Times New Roman" w:eastAsia="宋体" w:cs="Times New Roman"/>
                      <w:spacing w:val="6"/>
                      <w:sz w:val="18"/>
                      <w:szCs w:val="18"/>
                      <w:shd w:val="clear" w:color="auto" w:fill="FFFFFF"/>
                      <w:lang w:val="en-US" w:eastAsia="zh-CN"/>
                    </w:rPr>
                    <w:t>本项目产生极少臭味气体，经消毒除臭后扩散稀释，不会对大气环境产生不良影响</w:t>
                  </w:r>
                  <w:r>
                    <w:rPr>
                      <w:rFonts w:hint="default" w:ascii="Times New Roman" w:hAnsi="Times New Roman" w:eastAsia="宋体" w:cs="Times New Roman"/>
                      <w:spacing w:val="6"/>
                      <w:sz w:val="18"/>
                      <w:szCs w:val="18"/>
                      <w:shd w:val="clear" w:color="auto" w:fill="FFFFFF"/>
                    </w:rPr>
                    <w:t>；新浏河各类水质指标满足《地表水环境质量标准》（GB3838-2002）Ⅳ类标准；声环境质量现状满足《声环境噪声标准》（GB3096-2008）中3类区标准值的要求，本项目建设后营运期产生的各项污染物通过相应的治理措施处理后均可达标排放，建设项目环境风险可控制在安全范围内，因此，本项目的建设对区域环境质量影响较小，符合环境质量底线的相关规定要求。</w:t>
                  </w:r>
                </w:p>
              </w:tc>
              <w:tc>
                <w:tcPr>
                  <w:tcW w:w="645"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jc w:val="center"/>
              </w:trPr>
              <w:tc>
                <w:tcPr>
                  <w:tcW w:w="307"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资源利用上限</w:t>
                  </w:r>
                </w:p>
              </w:tc>
              <w:tc>
                <w:tcPr>
                  <w:tcW w:w="4046" w:type="pct"/>
                  <w:gridSpan w:val="2"/>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本项目生产过程中所用的资源主要为水、电，新增年用电量为</w:t>
                  </w:r>
                  <w:r>
                    <w:rPr>
                      <w:rFonts w:hint="default" w:ascii="Times New Roman" w:hAnsi="Times New Roman" w:eastAsia="宋体" w:cs="Times New Roman"/>
                      <w:sz w:val="18"/>
                      <w:szCs w:val="18"/>
                      <w:lang w:val="en-US" w:eastAsia="zh-CN"/>
                    </w:rPr>
                    <w:t>50</w:t>
                  </w:r>
                  <w:r>
                    <w:rPr>
                      <w:rFonts w:hint="default" w:ascii="Times New Roman" w:hAnsi="Times New Roman" w:eastAsia="宋体" w:cs="Times New Roman"/>
                      <w:sz w:val="18"/>
                      <w:szCs w:val="18"/>
                    </w:rPr>
                    <w:t>万千瓦时，新增年用水量为</w:t>
                  </w:r>
                  <w:r>
                    <w:rPr>
                      <w:rFonts w:hint="default" w:ascii="Times New Roman" w:hAnsi="Times New Roman" w:eastAsia="宋体" w:cs="Times New Roman"/>
                      <w:sz w:val="18"/>
                      <w:szCs w:val="18"/>
                      <w:lang w:val="en-US" w:eastAsia="zh-CN"/>
                    </w:rPr>
                    <w:t>916.7</w:t>
                  </w:r>
                  <w:r>
                    <w:rPr>
                      <w:rFonts w:hint="default" w:ascii="Times New Roman" w:hAnsi="Times New Roman" w:eastAsia="宋体" w:cs="Times New Roman"/>
                      <w:sz w:val="18"/>
                      <w:szCs w:val="18"/>
                    </w:rPr>
                    <w:t>吨，年综合能源消费量可控制在</w:t>
                  </w:r>
                  <w:r>
                    <w:rPr>
                      <w:rFonts w:hint="default" w:ascii="Times New Roman" w:hAnsi="Times New Roman" w:eastAsia="宋体" w:cs="Times New Roman"/>
                      <w:sz w:val="18"/>
                      <w:szCs w:val="18"/>
                      <w:lang w:val="en-US" w:eastAsia="zh-CN"/>
                    </w:rPr>
                    <w:t>61.45</w:t>
                  </w:r>
                  <w:r>
                    <w:rPr>
                      <w:rFonts w:hint="default" w:ascii="Times New Roman" w:hAnsi="Times New Roman" w:eastAsia="宋体" w:cs="Times New Roman"/>
                      <w:sz w:val="18"/>
                      <w:szCs w:val="18"/>
                    </w:rPr>
                    <w:t>吨标准煤（当量值）以内。本项目所在地水资源丰富，电力资源由当地电网公司输送。本项目将全过程贯彻循环经济理念，采取节水节电等手段，符合资源利用上线相关要求。</w:t>
                  </w:r>
                </w:p>
              </w:tc>
              <w:tc>
                <w:tcPr>
                  <w:tcW w:w="645"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307" w:type="pct"/>
                  <w:vMerge w:val="restar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环境准入负面清单</w:t>
                  </w:r>
                </w:p>
              </w:tc>
              <w:tc>
                <w:tcPr>
                  <w:tcW w:w="1780"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《产业结构调整指导目录》（2024年修订本）</w:t>
                  </w:r>
                </w:p>
              </w:tc>
              <w:tc>
                <w:tcPr>
                  <w:tcW w:w="2266"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根据《产业结构调整指导目录》（2024年修订本），本项目不属于限制类和淘汰类，为</w:t>
                  </w:r>
                  <w:r>
                    <w:rPr>
                      <w:rFonts w:hint="default" w:ascii="Times New Roman" w:hAnsi="Times New Roman" w:eastAsia="宋体" w:cs="Times New Roman"/>
                      <w:sz w:val="18"/>
                      <w:szCs w:val="18"/>
                      <w:lang w:val="en-US" w:eastAsia="zh-CN"/>
                    </w:rPr>
                    <w:t>允许</w:t>
                  </w:r>
                  <w:r>
                    <w:rPr>
                      <w:rFonts w:hint="default" w:ascii="Times New Roman" w:hAnsi="Times New Roman" w:eastAsia="宋体" w:cs="Times New Roman"/>
                      <w:sz w:val="18"/>
                      <w:szCs w:val="18"/>
                    </w:rPr>
                    <w:t>类项目。</w:t>
                  </w:r>
                </w:p>
              </w:tc>
              <w:tc>
                <w:tcPr>
                  <w:tcW w:w="645"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07" w:type="pct"/>
                  <w:vMerge w:val="continue"/>
                  <w:vAlign w:val="center"/>
                </w:tcPr>
                <w:p>
                  <w:pPr>
                    <w:autoSpaceDE w:val="0"/>
                    <w:autoSpaceDN w:val="0"/>
                    <w:adjustRightInd w:val="0"/>
                    <w:snapToGrid w:val="0"/>
                    <w:spacing w:line="276" w:lineRule="auto"/>
                    <w:jc w:val="left"/>
                    <w:rPr>
                      <w:rFonts w:hint="default" w:ascii="Times New Roman" w:hAnsi="Times New Roman" w:eastAsia="宋体" w:cs="Times New Roman"/>
                      <w:color w:val="FF0000"/>
                      <w:sz w:val="18"/>
                      <w:szCs w:val="18"/>
                    </w:rPr>
                  </w:pPr>
                </w:p>
              </w:tc>
              <w:tc>
                <w:tcPr>
                  <w:tcW w:w="1780"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《江苏省工业和信息产业结构调整指导目录（2012年本）》及修订</w:t>
                  </w:r>
                </w:p>
              </w:tc>
              <w:tc>
                <w:tcPr>
                  <w:tcW w:w="2266"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本项目不在国家《限制用地项目目录（2012年本）》、《禁止用地目录（2012年本）》中。</w:t>
                  </w:r>
                </w:p>
              </w:tc>
              <w:tc>
                <w:tcPr>
                  <w:tcW w:w="645"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07" w:type="pct"/>
                  <w:vMerge w:val="continue"/>
                  <w:vAlign w:val="center"/>
                </w:tcPr>
                <w:p>
                  <w:pPr>
                    <w:autoSpaceDE w:val="0"/>
                    <w:autoSpaceDN w:val="0"/>
                    <w:adjustRightInd w:val="0"/>
                    <w:snapToGrid w:val="0"/>
                    <w:spacing w:line="276" w:lineRule="auto"/>
                    <w:jc w:val="left"/>
                    <w:rPr>
                      <w:rFonts w:hint="default" w:ascii="Times New Roman" w:hAnsi="Times New Roman" w:eastAsia="宋体" w:cs="Times New Roman"/>
                      <w:color w:val="FF0000"/>
                      <w:sz w:val="18"/>
                      <w:szCs w:val="18"/>
                    </w:rPr>
                  </w:pPr>
                </w:p>
              </w:tc>
              <w:tc>
                <w:tcPr>
                  <w:tcW w:w="1780"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太仓高新技术产业开发区环境准入负面清单</w:t>
                  </w:r>
                </w:p>
              </w:tc>
              <w:tc>
                <w:tcPr>
                  <w:tcW w:w="2266"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太仓高新技术产业开发区环境准入负面清单详见下表。</w:t>
                  </w:r>
                </w:p>
              </w:tc>
              <w:tc>
                <w:tcPr>
                  <w:tcW w:w="645" w:type="pct"/>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相符</w:t>
                  </w:r>
                </w:p>
              </w:tc>
            </w:tr>
          </w:tbl>
          <w:p>
            <w:pPr>
              <w:autoSpaceDE w:val="0"/>
              <w:autoSpaceDN w:val="0"/>
              <w:adjustRightInd w:val="0"/>
              <w:snapToGrid w:val="0"/>
              <w:spacing w:line="360" w:lineRule="auto"/>
              <w:ind w:firstLine="210" w:firstLineChars="100"/>
              <w:jc w:val="left"/>
              <w:rPr>
                <w:rFonts w:hint="default" w:ascii="Times New Roman" w:hAnsi="Times New Roman" w:cs="Times New Roman"/>
                <w:b/>
                <w:bCs/>
                <w:sz w:val="21"/>
                <w:szCs w:val="21"/>
              </w:rPr>
            </w:pPr>
            <w:r>
              <w:rPr>
                <w:rFonts w:hint="default" w:ascii="Times New Roman" w:hAnsi="Times New Roman" w:cs="Times New Roman"/>
                <w:sz w:val="21"/>
                <w:szCs w:val="21"/>
              </w:rPr>
              <w:t>太仓高新技术产业开发区环境准入负面清单详见下表。</w:t>
            </w:r>
          </w:p>
          <w:p>
            <w:pPr>
              <w:autoSpaceDE w:val="0"/>
              <w:autoSpaceDN w:val="0"/>
              <w:adjustRightInd w:val="0"/>
              <w:snapToGrid w:val="0"/>
              <w:jc w:val="center"/>
              <w:rPr>
                <w:rFonts w:ascii="宋体" w:hAnsi="宋体"/>
                <w:b/>
                <w:bCs/>
                <w:szCs w:val="21"/>
              </w:rPr>
            </w:pPr>
            <w:r>
              <w:rPr>
                <w:rFonts w:hint="default" w:ascii="Times New Roman" w:hAnsi="Times New Roman" w:cs="Times New Roman"/>
                <w:b/>
                <w:bCs/>
                <w:sz w:val="21"/>
                <w:szCs w:val="21"/>
              </w:rPr>
              <w:t>表1-4环境准入负面清单</w:t>
            </w:r>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613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900" w:type="dxa"/>
                  <w:vAlign w:val="center"/>
                </w:tcPr>
                <w:p>
                  <w:pPr>
                    <w:autoSpaceDE w:val="0"/>
                    <w:autoSpaceDN w:val="0"/>
                    <w:adjustRightInd w:val="0"/>
                    <w:snapToGrid w:val="0"/>
                    <w:spacing w:line="276"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清单类型</w:t>
                  </w:r>
                </w:p>
              </w:tc>
              <w:tc>
                <w:tcPr>
                  <w:tcW w:w="6132" w:type="dxa"/>
                  <w:vAlign w:val="center"/>
                </w:tcPr>
                <w:p>
                  <w:pPr>
                    <w:autoSpaceDE w:val="0"/>
                    <w:autoSpaceDN w:val="0"/>
                    <w:adjustRightInd w:val="0"/>
                    <w:snapToGrid w:val="0"/>
                    <w:spacing w:line="276"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准入内容</w:t>
                  </w:r>
                </w:p>
              </w:tc>
              <w:tc>
                <w:tcPr>
                  <w:tcW w:w="2126" w:type="dxa"/>
                  <w:vAlign w:val="center"/>
                </w:tcPr>
                <w:p>
                  <w:pPr>
                    <w:autoSpaceDE w:val="0"/>
                    <w:autoSpaceDN w:val="0"/>
                    <w:adjustRightInd w:val="0"/>
                    <w:snapToGrid w:val="0"/>
                    <w:spacing w:line="276"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本项目相符性分析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900"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空间布局约束</w:t>
                  </w:r>
                </w:p>
              </w:tc>
              <w:tc>
                <w:tcPr>
                  <w:tcW w:w="6132" w:type="dxa"/>
                  <w:vAlign w:val="center"/>
                </w:tcPr>
                <w:p>
                  <w:pPr>
                    <w:autoSpaceDE w:val="0"/>
                    <w:autoSpaceDN w:val="0"/>
                    <w:adjustRightInd w:val="0"/>
                    <w:snapToGrid w:val="0"/>
                    <w:spacing w:line="276" w:lineRule="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在涉及浏河（太仓市）清水通道维护区内，严格执行《南水北调工程供用水管理条例》《江苏省河道管理条例》《江苏省太湖水污染防治条例》和《江苏省通榆河水污染防治条例》等有关规定。至规划期末4家企业占用浏河两岸100米范围内的工业用地全部清退，退出后的地块用途需符合《江苏省生态空间管控区域调整管理办法》（苏政发</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2021</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3号）第十三条规定；</w:t>
                  </w:r>
                </w:p>
                <w:p>
                  <w:pPr>
                    <w:autoSpaceDE w:val="0"/>
                    <w:autoSpaceDN w:val="0"/>
                    <w:adjustRightInd w:val="0"/>
                    <w:snapToGrid w:val="0"/>
                    <w:spacing w:line="276" w:lineRule="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（2）禁止在基本农田区域进行各项非农建设。本次规划开发建设如占用少量基本农田，需在做好基本农田占补平衡下进行；</w:t>
                  </w:r>
                </w:p>
                <w:p>
                  <w:pPr>
                    <w:autoSpaceDE w:val="0"/>
                    <w:autoSpaceDN w:val="0"/>
                    <w:adjustRightInd w:val="0"/>
                    <w:snapToGrid w:val="0"/>
                    <w:spacing w:line="276" w:lineRule="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（3）禁止占用水域，禁止破坏水域的建设活动；</w:t>
                  </w:r>
                </w:p>
                <w:p>
                  <w:pPr>
                    <w:autoSpaceDE w:val="0"/>
                    <w:autoSpaceDN w:val="0"/>
                    <w:adjustRightInd w:val="0"/>
                    <w:snapToGrid w:val="0"/>
                    <w:spacing w:line="276" w:lineRule="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（4）以绿化和防护林建设为主，严格控制城镇和农村居民点建设。</w:t>
                  </w:r>
                </w:p>
              </w:tc>
              <w:tc>
                <w:tcPr>
                  <w:tcW w:w="2126"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本项目不在浏河（太仓市）清水通道维护区，不占用基本农田、水域。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7" w:hRule="atLeast"/>
                <w:jc w:val="center"/>
              </w:trPr>
              <w:tc>
                <w:tcPr>
                  <w:tcW w:w="900"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污染物排放管控</w:t>
                  </w:r>
                </w:p>
              </w:tc>
              <w:tc>
                <w:tcPr>
                  <w:tcW w:w="6132" w:type="dxa"/>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（1）废水污染物：COD</w:t>
                  </w:r>
                  <w:r>
                    <w:rPr>
                      <w:rFonts w:hint="default" w:ascii="Times New Roman" w:hAnsi="Times New Roman" w:eastAsia="宋体" w:cs="Times New Roman"/>
                      <w:sz w:val="18"/>
                      <w:szCs w:val="18"/>
                      <w:highlight w:val="none"/>
                      <w:lang w:val="en-US" w:eastAsia="zh-CN"/>
                    </w:rPr>
                    <w:t>0.24297</w:t>
                  </w:r>
                  <w:r>
                    <w:rPr>
                      <w:rFonts w:hint="default" w:ascii="Times New Roman" w:hAnsi="Times New Roman" w:eastAsia="宋体" w:cs="Times New Roman"/>
                      <w:sz w:val="18"/>
                      <w:szCs w:val="18"/>
                      <w:highlight w:val="none"/>
                    </w:rPr>
                    <w:t>t/a；NH</w:t>
                  </w:r>
                  <w:r>
                    <w:rPr>
                      <w:rFonts w:hint="default" w:ascii="Times New Roman" w:hAnsi="Times New Roman" w:eastAsia="宋体" w:cs="Times New Roman"/>
                      <w:sz w:val="18"/>
                      <w:szCs w:val="18"/>
                      <w:highlight w:val="none"/>
                      <w:vertAlign w:val="subscript"/>
                    </w:rPr>
                    <w:t>3</w:t>
                  </w:r>
                  <w:r>
                    <w:rPr>
                      <w:rFonts w:hint="default" w:ascii="Times New Roman" w:hAnsi="Times New Roman" w:eastAsia="宋体" w:cs="Times New Roman"/>
                      <w:sz w:val="18"/>
                      <w:szCs w:val="18"/>
                      <w:highlight w:val="none"/>
                    </w:rPr>
                    <w:t>-N</w:t>
                  </w:r>
                  <w:r>
                    <w:rPr>
                      <w:rFonts w:hint="default" w:ascii="Times New Roman" w:hAnsi="Times New Roman" w:eastAsia="宋体" w:cs="Times New Roman"/>
                      <w:sz w:val="18"/>
                      <w:szCs w:val="18"/>
                      <w:highlight w:val="none"/>
                      <w:lang w:val="en-US" w:eastAsia="zh-CN"/>
                    </w:rPr>
                    <w:t>0.0167</w:t>
                  </w:r>
                  <w:r>
                    <w:rPr>
                      <w:rFonts w:hint="default" w:ascii="Times New Roman" w:hAnsi="Times New Roman" w:eastAsia="宋体" w:cs="Times New Roman"/>
                      <w:sz w:val="18"/>
                      <w:szCs w:val="18"/>
                      <w:highlight w:val="none"/>
                    </w:rPr>
                    <w:t>t/a、TP</w:t>
                  </w:r>
                  <w:r>
                    <w:rPr>
                      <w:rFonts w:hint="default" w:ascii="Times New Roman" w:hAnsi="Times New Roman" w:eastAsia="宋体" w:cs="Times New Roman"/>
                      <w:sz w:val="18"/>
                      <w:szCs w:val="18"/>
                      <w:highlight w:val="none"/>
                      <w:lang w:val="en-US" w:eastAsia="zh-CN"/>
                    </w:rPr>
                    <w:t>0.002672</w:t>
                  </w:r>
                  <w:r>
                    <w:rPr>
                      <w:rFonts w:hint="default" w:ascii="Times New Roman" w:hAnsi="Times New Roman" w:eastAsia="宋体" w:cs="Times New Roman"/>
                      <w:sz w:val="18"/>
                      <w:szCs w:val="18"/>
                      <w:highlight w:val="none"/>
                    </w:rPr>
                    <w:t>t/a、TN</w:t>
                  </w:r>
                  <w:r>
                    <w:rPr>
                      <w:rFonts w:hint="default" w:ascii="Times New Roman" w:hAnsi="Times New Roman" w:eastAsia="宋体" w:cs="Times New Roman"/>
                      <w:sz w:val="18"/>
                      <w:szCs w:val="18"/>
                      <w:highlight w:val="none"/>
                      <w:lang w:val="en-US" w:eastAsia="zh-CN"/>
                    </w:rPr>
                    <w:t>0.02672</w:t>
                  </w:r>
                  <w:r>
                    <w:rPr>
                      <w:rFonts w:hint="default" w:ascii="Times New Roman" w:hAnsi="Times New Roman" w:eastAsia="宋体" w:cs="Times New Roman"/>
                      <w:sz w:val="18"/>
                      <w:szCs w:val="18"/>
                      <w:highlight w:val="none"/>
                    </w:rPr>
                    <w:t>t/a；</w:t>
                  </w:r>
                </w:p>
                <w:p>
                  <w:pPr>
                    <w:autoSpaceDE w:val="0"/>
                    <w:autoSpaceDN w:val="0"/>
                    <w:adjustRightInd w:val="0"/>
                    <w:snapToGrid w:val="0"/>
                    <w:spacing w:line="276" w:lineRule="auto"/>
                    <w:jc w:val="left"/>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rPr>
                    <w:t>（2）大气污染物：</w:t>
                  </w:r>
                  <w:r>
                    <w:rPr>
                      <w:rFonts w:hint="default" w:ascii="Times New Roman" w:hAnsi="Times New Roman" w:eastAsia="宋体" w:cs="Times New Roman"/>
                      <w:sz w:val="18"/>
                      <w:szCs w:val="18"/>
                      <w:highlight w:val="none"/>
                      <w:lang w:val="en-US" w:eastAsia="zh-CN"/>
                    </w:rPr>
                    <w:t>少量无组织臭气</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highlight w:val="none"/>
                    </w:rPr>
                    <w:t>（3）危险废物：</w:t>
                  </w:r>
                  <w:r>
                    <w:rPr>
                      <w:rFonts w:hint="default" w:ascii="Times New Roman" w:hAnsi="Times New Roman" w:eastAsia="宋体" w:cs="Times New Roman"/>
                      <w:sz w:val="18"/>
                      <w:szCs w:val="18"/>
                      <w:highlight w:val="none"/>
                      <w:lang w:val="en-US" w:eastAsia="zh-CN"/>
                    </w:rPr>
                    <w:t>0.3</w:t>
                  </w:r>
                  <w:r>
                    <w:rPr>
                      <w:rFonts w:hint="default" w:ascii="Times New Roman" w:hAnsi="Times New Roman" w:eastAsia="宋体" w:cs="Times New Roman"/>
                      <w:sz w:val="18"/>
                      <w:szCs w:val="18"/>
                      <w:highlight w:val="none"/>
                    </w:rPr>
                    <w:t>/a。</w:t>
                  </w:r>
                </w:p>
              </w:tc>
              <w:tc>
                <w:tcPr>
                  <w:tcW w:w="2126"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本项目总量在太仓市高新区总量范围内进行平衡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900"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产业开发准入</w:t>
                  </w:r>
                </w:p>
              </w:tc>
              <w:tc>
                <w:tcPr>
                  <w:tcW w:w="6132" w:type="dxa"/>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优先引入：（1）高端制造产业：精密机械、汽车零部件（含研发）、医疗器械、新型纺织机械、模具、航空航天装备、高档数控机床和机器人。</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（2）电子信息产业：高端电子设备制造业、汽车电子制造、电子元件制造、软件与信息技术服务业；</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（3）新材料产业：高性能膜材料、航空新材料、电子新材料；</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（4）生物医药产业：生物药品制造（不含原药生产）、生物医药研发、健康食品制造；</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（5）现代服务业：职业教育、文化创意、现代物流、科技服务。</w:t>
                  </w:r>
                </w:p>
              </w:tc>
              <w:tc>
                <w:tcPr>
                  <w:tcW w:w="2126" w:type="dxa"/>
                  <w:vMerge w:val="restart"/>
                  <w:vAlign w:val="center"/>
                </w:tcPr>
                <w:p>
                  <w:pP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建设项目为O8222宠物医院服务，不属于生态环境准入清单中禁止引入项目。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900" w:type="dxa"/>
                  <w:vAlign w:val="center"/>
                </w:tcPr>
                <w:p>
                  <w:pPr>
                    <w:autoSpaceDE w:val="0"/>
                    <w:autoSpaceDN w:val="0"/>
                    <w:adjustRightInd w:val="0"/>
                    <w:snapToGrid w:val="0"/>
                    <w:spacing w:line="276" w:lineRule="auto"/>
                    <w:jc w:val="center"/>
                    <w:rPr>
                      <w:rFonts w:hint="default" w:ascii="Times New Roman" w:hAnsi="Times New Roman" w:eastAsia="宋体" w:cs="Times New Roman"/>
                      <w:color w:val="FF0000"/>
                      <w:sz w:val="18"/>
                      <w:szCs w:val="18"/>
                    </w:rPr>
                  </w:pPr>
                </w:p>
              </w:tc>
              <w:tc>
                <w:tcPr>
                  <w:tcW w:w="6132"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禁止引入：（1）禁止新建纯电镀项目，禁止新引进含印染的项目。需要配套电镀工序的企业、拟保留的少量印染企业按照《江苏省太湖水污染防治条例》第四十三条和第四十六条的规定执行；（2）新材料产业：含化学反应的合成材料生产项目，含湿法刻蚀等污染较重工艺的光电材料生产项目，含铸造、冶炼工艺的金属材料生产项目；（3）电子信息产业：多晶硅、单晶硅前道生产项目，综合电耗大于200千瓦时/千克的太阳能级多晶硅生产，硅片年产能低于5000万片的项目，晶硅电池年产能低于200MWp的项目，晶硅电池组件年产能低于200MWp的项目，线路板拆解项目；（4）生物医药及生物医药研发产业：化学合成的原药生产的项目；（5）其他：产能过剩项目；《环境保护综合名录（2017年版）》“高污染、高环境风险”产品；生产工艺或设备落后，不符合国家相关产业政策、达不到规模经济的项目；金属或非金属表面处理外加工产业（不包括电子、汽车及零部件、机械等产业生产工艺流程中必备的磷化、喷涂、电涌等工序）；化工、造纸、印染、钢铁、水泥等高耗能高污染项目；不符合园区定位或国家明令禁止、淘汰的企业。</w:t>
                  </w:r>
                </w:p>
              </w:tc>
              <w:tc>
                <w:tcPr>
                  <w:tcW w:w="2126" w:type="dxa"/>
                  <w:vMerge w:val="continue"/>
                  <w:vAlign w:val="center"/>
                </w:tcPr>
                <w:p>
                  <w:pPr>
                    <w:autoSpaceDE w:val="0"/>
                    <w:autoSpaceDN w:val="0"/>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7" w:hRule="atLeast"/>
                <w:jc w:val="center"/>
              </w:trPr>
              <w:tc>
                <w:tcPr>
                  <w:tcW w:w="900"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环境风险管控</w:t>
                  </w:r>
                </w:p>
              </w:tc>
              <w:tc>
                <w:tcPr>
                  <w:tcW w:w="6132"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根据《关于进一步加强环境影响评价管理防范环境风险的通知》（环发〔2012〕77号）的相关内容，对存在较大环境风险的相关建设项目，应严格按照《环境影响评价公众参与办法》（2018年部令第4号）做好环境影响评价公众参与工作。开发区企业应制定环境应急预案，明确环境风险防范措施，建设并完善日常和应急监测系统，配备大气、水环境特征污染物监控设备，编制日常和应急监测方案，建立完备的环境信息平台，接受公众监督。</w:t>
                  </w:r>
                </w:p>
              </w:tc>
              <w:tc>
                <w:tcPr>
                  <w:tcW w:w="2126"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企业按要求落实各项风险防控措施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900"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资源开发利用要求</w:t>
                  </w:r>
                </w:p>
              </w:tc>
              <w:tc>
                <w:tcPr>
                  <w:tcW w:w="6132" w:type="dxa"/>
                  <w:vAlign w:val="center"/>
                </w:tcPr>
                <w:p>
                  <w:pPr>
                    <w:autoSpaceDE w:val="0"/>
                    <w:autoSpaceDN w:val="0"/>
                    <w:adjustRightInd w:val="0"/>
                    <w:snapToGrid w:val="0"/>
                    <w:spacing w:line="276" w:lineRule="auto"/>
                    <w:ind w:firstLine="360" w:firstLineChars="200"/>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单位工业增加值新鲜水耗不高于8吨/万元；（2）土地资源总量上限不高于66.4062平方公里；（3）建设用地总量上限不高于38.32平方公里；（4）工业用地及仓储用地总量不高于10.86平方公里；（5）单位工业增加值综合能耗不高于0.5吨标煤/万元。</w:t>
                  </w:r>
                </w:p>
              </w:tc>
              <w:tc>
                <w:tcPr>
                  <w:tcW w:w="2126"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建设项目利用租赁厂房建设，不涉及新增用地，用水量较小。</w:t>
                  </w:r>
                </w:p>
              </w:tc>
            </w:tr>
          </w:tbl>
          <w:p>
            <w:pPr>
              <w:autoSpaceDE w:val="0"/>
              <w:autoSpaceDN w:val="0"/>
              <w:adjustRightInd w:val="0"/>
              <w:snapToGrid w:val="0"/>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对照上表所列内容，项目生产行为不在太仓高新技术产业开发区环境准入负面清单范围内</w:t>
            </w:r>
            <w:r>
              <w:rPr>
                <w:rFonts w:hint="default" w:ascii="Times New Roman" w:hAnsi="Times New Roman" w:eastAsia="宋体" w:cs="Times New Roman"/>
                <w:color w:val="auto"/>
                <w:sz w:val="21"/>
                <w:szCs w:val="21"/>
              </w:rPr>
              <w:t>，项目不属于《产业结构调整指导目录</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202</w:t>
            </w:r>
            <w:r>
              <w:rPr>
                <w:rFonts w:hint="default" w:ascii="Times New Roman" w:hAnsi="Times New Roman" w:eastAsia="宋体" w:cs="Times New Roman"/>
                <w:color w:val="auto"/>
                <w:sz w:val="21"/>
                <w:szCs w:val="21"/>
                <w:lang w:val="en-US" w:eastAsia="zh-CN"/>
              </w:rPr>
              <w:t>4</w:t>
            </w:r>
            <w:r>
              <w:rPr>
                <w:rFonts w:hint="default" w:ascii="Times New Roman" w:hAnsi="Times New Roman" w:eastAsia="宋体" w:cs="Times New Roman"/>
                <w:color w:val="auto"/>
                <w:sz w:val="21"/>
                <w:szCs w:val="21"/>
              </w:rPr>
              <w:t>)》中限</w:t>
            </w:r>
            <w:r>
              <w:rPr>
                <w:rFonts w:hint="default" w:ascii="Times New Roman" w:hAnsi="Times New Roman" w:eastAsia="宋体" w:cs="Times New Roman"/>
                <w:sz w:val="21"/>
                <w:szCs w:val="21"/>
              </w:rPr>
              <w:t>制和淘汰类项目，不属于禁止发展的行业，项目不排放氮磷污染物，符合太仓高新技术产业开发区项目准入要求。</w:t>
            </w:r>
          </w:p>
          <w:p>
            <w:pPr>
              <w:autoSpaceDE w:val="0"/>
              <w:autoSpaceDN w:val="0"/>
              <w:adjustRightInd w:val="0"/>
              <w:snapToGrid w:val="0"/>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综上所述，建设项目符合“三线一单”的环境管理要求。</w:t>
            </w:r>
          </w:p>
          <w:p>
            <w:pPr>
              <w:autoSpaceDE w:val="0"/>
              <w:autoSpaceDN w:val="0"/>
              <w:adjustRightInd w:val="0"/>
              <w:snapToGrid w:val="0"/>
              <w:spacing w:line="360" w:lineRule="auto"/>
              <w:ind w:firstLine="422" w:firstLineChars="200"/>
              <w:jc w:val="lef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5、省政府关于印发江苏省“三线一单”生态环境分区管控方案的通知（苏政发〔2020〕49号）相符性分析</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对照《江苏省“三线一单”生态环境分区管控方案》（苏政发〔2020〕49号）文件中“（五）落实生态环境管控要求，严格落实生态环境法律法规标准，国家、省和重点区域（流域）环境管理政策，准确把握区域发展战略和生态功能定位，建立完善并落实省域、重点区域（流域）、市域及各类环境管控单元的“1+4+13+N”生态环境分区管控体系，包括全省“1”个总体管控要求，长江流域、太湖流域、淮河流域、沿海地区等“4”个重点区域（流域）管控要求，“13”个设区市管控要求，以及全省“N”个（4365个）环境管控单元的生态环境准入清单。”本项目位于</w:t>
            </w:r>
            <w:r>
              <w:rPr>
                <w:rFonts w:hint="default" w:ascii="Times New Roman" w:hAnsi="Times New Roman" w:eastAsia="宋体" w:cs="Times New Roman"/>
                <w:color w:val="auto"/>
                <w:sz w:val="21"/>
                <w:szCs w:val="21"/>
              </w:rPr>
              <w:t>太仓市</w:t>
            </w:r>
            <w:r>
              <w:rPr>
                <w:rFonts w:hint="default" w:ascii="Times New Roman" w:hAnsi="Times New Roman" w:eastAsia="宋体" w:cs="Times New Roman"/>
                <w:color w:val="auto"/>
                <w:sz w:val="21"/>
                <w:szCs w:val="21"/>
                <w:lang w:val="en-US" w:eastAsia="zh-CN"/>
              </w:rPr>
              <w:t>高新区</w:t>
            </w:r>
            <w:r>
              <w:rPr>
                <w:rFonts w:hint="default" w:ascii="Times New Roman" w:hAnsi="Times New Roman" w:eastAsia="宋体" w:cs="Times New Roman"/>
                <w:color w:val="auto"/>
                <w:sz w:val="21"/>
                <w:szCs w:val="21"/>
              </w:rPr>
              <w:t>郑和中路376号20幢商铺06室</w:t>
            </w:r>
            <w:r>
              <w:rPr>
                <w:rFonts w:hint="default" w:ascii="Times New Roman" w:hAnsi="Times New Roman" w:eastAsia="宋体" w:cs="Times New Roman"/>
                <w:sz w:val="21"/>
                <w:szCs w:val="21"/>
              </w:rPr>
              <w:t>，属于长江流域及沿海地区，为重点区域（流域）。对照江苏省重点区域（流域）生态环境分区管控要求，具体分析如下表1-5。</w:t>
            </w:r>
          </w:p>
          <w:p>
            <w:pPr>
              <w:autoSpaceDE w:val="0"/>
              <w:autoSpaceDN w:val="0"/>
              <w:adjustRightInd w:val="0"/>
              <w:snapToGrid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表1-5与江苏省重点区域（流域）生态环境分区管控要求相符性</w:t>
            </w:r>
          </w:p>
          <w:tbl>
            <w:tblPr>
              <w:tblStyle w:val="36"/>
              <w:tblW w:w="4999"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95"/>
              <w:gridCol w:w="5703"/>
              <w:gridCol w:w="216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43" w:hRule="atLeast"/>
                <w:jc w:val="center"/>
              </w:trPr>
              <w:tc>
                <w:tcPr>
                  <w:tcW w:w="1296" w:type="dxa"/>
                  <w:vAlign w:val="center"/>
                </w:tcPr>
                <w:p>
                  <w:pPr>
                    <w:autoSpaceDE w:val="0"/>
                    <w:autoSpaceDN w:val="0"/>
                    <w:adjustRightInd w:val="0"/>
                    <w:snapToGrid w:val="0"/>
                    <w:spacing w:line="276"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管控类别</w:t>
                  </w:r>
                </w:p>
              </w:tc>
              <w:tc>
                <w:tcPr>
                  <w:tcW w:w="5707" w:type="dxa"/>
                  <w:vAlign w:val="center"/>
                </w:tcPr>
                <w:p>
                  <w:pPr>
                    <w:autoSpaceDE w:val="0"/>
                    <w:autoSpaceDN w:val="0"/>
                    <w:adjustRightInd w:val="0"/>
                    <w:snapToGrid w:val="0"/>
                    <w:spacing w:line="276"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重点管控要求</w:t>
                  </w:r>
                </w:p>
              </w:tc>
              <w:tc>
                <w:tcPr>
                  <w:tcW w:w="2160" w:type="dxa"/>
                  <w:vAlign w:val="center"/>
                </w:tcPr>
                <w:p>
                  <w:pPr>
                    <w:autoSpaceDE w:val="0"/>
                    <w:autoSpaceDN w:val="0"/>
                    <w:adjustRightInd w:val="0"/>
                    <w:snapToGrid w:val="0"/>
                    <w:spacing w:line="276"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相符性分析</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43" w:hRule="atLeast"/>
                <w:jc w:val="center"/>
              </w:trPr>
              <w:tc>
                <w:tcPr>
                  <w:tcW w:w="9163" w:type="dxa"/>
                  <w:gridSpan w:val="3"/>
                  <w:vAlign w:val="center"/>
                </w:tcPr>
                <w:p>
                  <w:pPr>
                    <w:autoSpaceDE w:val="0"/>
                    <w:autoSpaceDN w:val="0"/>
                    <w:adjustRightInd w:val="0"/>
                    <w:snapToGrid w:val="0"/>
                    <w:spacing w:line="276"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一、长江流域</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43" w:hRule="atLeast"/>
                <w:jc w:val="center"/>
              </w:trPr>
              <w:tc>
                <w:tcPr>
                  <w:tcW w:w="1296"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空间布局约束</w:t>
                  </w:r>
                </w:p>
              </w:tc>
              <w:tc>
                <w:tcPr>
                  <w:tcW w:w="5707" w:type="dxa"/>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1.始终把长江生态修复放在首位，坚持共抓大保护、不搞大开发，引导长江流域产业转型升级和布局优化调整，实现科学发展、有序发展、高质量发展。</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加强生态空间保护，禁止在国家确定的生态保护红线和永久基本农田范围内，投资建设除国家重大战略资源普查项目、生态保护修复和地质灾害治理项目、重大基础设施项目、军事国防项目以及农民基本生产生活等必要的民生项目以外的项目。</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3.禁止在沿江地区新建或扩建化学工业园区，禁止新建或扩建以大宗进口油气资源为原料的石油加工、石油化工、基础有机无机化工、煤化工项目：禁止在长江干流和主要支流岸线1公里范围内新建危化品码头。</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4.强化港口布局优化，禁止建设不符合国家港口布局规划和《江苏省沿江沿海港口布局规划（2015</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2030年）》《江苏省内河港口布局规划（2017</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2035年）》的码头项目，禁止建设未纳入《长江干线过江通道布局规划》的过江干线通道项目。</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5.禁止新建独立焦化项目。</w:t>
                  </w:r>
                </w:p>
              </w:tc>
              <w:tc>
                <w:tcPr>
                  <w:tcW w:w="2160" w:type="dxa"/>
                  <w:vAlign w:val="center"/>
                </w:tcPr>
                <w:p>
                  <w:pPr>
                    <w:spacing w:line="276" w:lineRule="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本项目位于太仓市</w:t>
                  </w:r>
                  <w:r>
                    <w:rPr>
                      <w:rFonts w:hint="default" w:ascii="Times New Roman" w:hAnsi="Times New Roman" w:eastAsia="宋体" w:cs="Times New Roman"/>
                      <w:sz w:val="18"/>
                      <w:szCs w:val="18"/>
                      <w:lang w:val="en-US" w:eastAsia="zh-CN"/>
                    </w:rPr>
                    <w:t>高新区</w:t>
                  </w:r>
                  <w:r>
                    <w:rPr>
                      <w:rFonts w:hint="default" w:ascii="Times New Roman" w:hAnsi="Times New Roman" w:eastAsia="宋体" w:cs="Times New Roman"/>
                      <w:sz w:val="18"/>
                      <w:szCs w:val="18"/>
                    </w:rPr>
                    <w:t>郑和中路376号20幢商铺06室，不在生态保护红线和永久基本农田范围内，不属于沿江地区，不在港口内。本项目属于O8222宠物医院服务</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43" w:hRule="atLeast"/>
                <w:jc w:val="center"/>
              </w:trPr>
              <w:tc>
                <w:tcPr>
                  <w:tcW w:w="1296"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污染物排放管控</w:t>
                  </w:r>
                </w:p>
              </w:tc>
              <w:tc>
                <w:tcPr>
                  <w:tcW w:w="5707" w:type="dxa"/>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1.根据《江苏省长江水污染防治条例》实施污染物总量控制制度。</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2.全面加强和规范长江入河排污口管理，有效管控入河污染物排放，形成权责清晰、监控到位、管理规范的长江入河排污口监管体系，加快改善长江水环境质量。</w:t>
                  </w:r>
                </w:p>
              </w:tc>
              <w:tc>
                <w:tcPr>
                  <w:tcW w:w="2160" w:type="dxa"/>
                  <w:vAlign w:val="center"/>
                </w:tcPr>
                <w:p>
                  <w:pPr>
                    <w:autoSpaceDE w:val="0"/>
                    <w:autoSpaceDN w:val="0"/>
                    <w:adjustRightInd w:val="0"/>
                    <w:snapToGrid w:val="0"/>
                    <w:spacing w:line="276" w:lineRule="auto"/>
                    <w:ind w:firstLine="360" w:firstLineChars="200"/>
                    <w:jc w:val="left"/>
                    <w:rPr>
                      <w:rFonts w:hint="default" w:ascii="Times New Roman" w:hAnsi="Times New Roman" w:eastAsia="宋体" w:cs="Times New Roman"/>
                      <w:sz w:val="18"/>
                      <w:szCs w:val="18"/>
                    </w:rPr>
                  </w:pPr>
                  <w:r>
                    <w:rPr>
                      <w:rFonts w:hint="default" w:ascii="Times New Roman" w:hAnsi="Times New Roman" w:eastAsia="宋体" w:cs="Times New Roman"/>
                      <w:kern w:val="0"/>
                      <w:sz w:val="18"/>
                      <w:szCs w:val="18"/>
                    </w:rPr>
                    <w:t>本项目</w:t>
                  </w:r>
                  <w:r>
                    <w:rPr>
                      <w:rFonts w:hint="default" w:ascii="Times New Roman" w:hAnsi="Times New Roman" w:eastAsia="宋体" w:cs="Times New Roman"/>
                      <w:kern w:val="0"/>
                      <w:sz w:val="18"/>
                      <w:szCs w:val="18"/>
                      <w:lang w:val="en-US" w:eastAsia="zh-CN"/>
                    </w:rPr>
                    <w:t>医疗废水经消毒处理后与生活污水、洗浴污水经化粪池预处理后接</w:t>
                  </w:r>
                  <w:r>
                    <w:rPr>
                      <w:rFonts w:hint="default" w:ascii="Times New Roman" w:hAnsi="Times New Roman" w:eastAsia="宋体" w:cs="Times New Roman"/>
                      <w:kern w:val="0"/>
                      <w:sz w:val="18"/>
                      <w:szCs w:val="18"/>
                    </w:rPr>
                    <w:t>管至城东污水处理厂集中处理</w:t>
                  </w:r>
                  <w:r>
                    <w:rPr>
                      <w:rFonts w:hint="default" w:ascii="Times New Roman" w:hAnsi="Times New Roman" w:eastAsia="宋体" w:cs="Times New Roman"/>
                      <w:kern w:val="0"/>
                      <w:sz w:val="18"/>
                      <w:szCs w:val="18"/>
                      <w:highlight w:val="none"/>
                      <w:lang w:eastAsia="zh-CN"/>
                    </w:rPr>
                    <w:t>。</w:t>
                  </w:r>
                  <w:r>
                    <w:rPr>
                      <w:rFonts w:hint="default" w:ascii="Times New Roman" w:hAnsi="Times New Roman" w:eastAsia="宋体" w:cs="Times New Roman"/>
                      <w:sz w:val="18"/>
                      <w:szCs w:val="18"/>
                      <w:highlight w:val="none"/>
                    </w:rPr>
                    <w:t>不直接排放至周边水</w:t>
                  </w:r>
                  <w:r>
                    <w:rPr>
                      <w:rFonts w:hint="default" w:ascii="Times New Roman" w:hAnsi="Times New Roman" w:eastAsia="宋体" w:cs="Times New Roman"/>
                      <w:sz w:val="18"/>
                      <w:szCs w:val="18"/>
                    </w:rPr>
                    <w:t>体，不会对长江水体造成污染。</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73" w:hRule="atLeast"/>
                <w:jc w:val="center"/>
              </w:trPr>
              <w:tc>
                <w:tcPr>
                  <w:tcW w:w="1296"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环境风险</w:t>
                  </w:r>
                </w:p>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防控</w:t>
                  </w:r>
                </w:p>
              </w:tc>
              <w:tc>
                <w:tcPr>
                  <w:tcW w:w="5707" w:type="dxa"/>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1.防范沿江环境风险。深化沿江石化、化工、医药、纺织、印染、化纤、危化品和石油类仓储、涉重金属和危险废物处置等重点企业环境风险防控。</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2.加强饮用水水源保护。优化水源保护区划定，推动饮用水水源地规范化建设。</w:t>
                  </w:r>
                </w:p>
              </w:tc>
              <w:tc>
                <w:tcPr>
                  <w:tcW w:w="2160" w:type="dxa"/>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本项目不涉及</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08" w:hRule="atLeast"/>
                <w:jc w:val="center"/>
              </w:trPr>
              <w:tc>
                <w:tcPr>
                  <w:tcW w:w="9163" w:type="dxa"/>
                  <w:gridSpan w:val="3"/>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二、太湖流域</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1" w:hRule="atLeast"/>
                <w:jc w:val="center"/>
              </w:trPr>
              <w:tc>
                <w:tcPr>
                  <w:tcW w:w="1296"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空间布局约束</w:t>
                  </w:r>
                </w:p>
              </w:tc>
              <w:tc>
                <w:tcPr>
                  <w:tcW w:w="5707" w:type="dxa"/>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在太湖流域一、二、三级保护区，禁止新建、改建、扩建化学制浆造纸、制革、酿造、染料、印染、电镀以及其他排放含磷、氮等污染物的企业和项目，城镇污水集中处理等环境基础设施项目和《江苏省太湖水污染防治条例》第四十六条规定的情形除外。</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2．在太湖流域一级保护区，禁止新建、扩建向水体排放污染物的建设项目，禁止新建、扩建畜禽养殖场，禁止新建、扩建高尔夫球场、水上游乐等开发项目以及设置水上餐饮经营设施。</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3．在太湖流域二级保护区，禁止新建、扩建化工、医药生产项目，禁止新建、扩建污水集中处理设施排污口以外的排污口。</w:t>
                  </w:r>
                </w:p>
              </w:tc>
              <w:tc>
                <w:tcPr>
                  <w:tcW w:w="2160" w:type="dxa"/>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本项目位于太湖流域三级保护区，不涉及禁止建设的行业，满足要求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7" w:hRule="atLeast"/>
                <w:jc w:val="center"/>
              </w:trPr>
              <w:tc>
                <w:tcPr>
                  <w:tcW w:w="1296"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污染物排放管控</w:t>
                  </w:r>
                </w:p>
              </w:tc>
              <w:tc>
                <w:tcPr>
                  <w:tcW w:w="5707" w:type="dxa"/>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城镇污水处理厂、纺织工业、化学工业、造纸工业、钢铁工业、电镀工业和食品工业的污水处理设施执行《太湖地区城镇污水处理厂及重点工业行业主要水污染物排放限值》。</w:t>
                  </w:r>
                </w:p>
              </w:tc>
              <w:tc>
                <w:tcPr>
                  <w:tcW w:w="2160" w:type="dxa"/>
                  <w:vAlign w:val="center"/>
                </w:tcPr>
                <w:p>
                  <w:pPr>
                    <w:autoSpaceDE w:val="0"/>
                    <w:autoSpaceDN w:val="0"/>
                    <w:adjustRightInd w:val="0"/>
                    <w:snapToGrid w:val="0"/>
                    <w:spacing w:line="276" w:lineRule="auto"/>
                    <w:jc w:val="both"/>
                    <w:rPr>
                      <w:rFonts w:hint="default" w:ascii="Times New Roman" w:hAnsi="Times New Roman" w:eastAsia="宋体" w:cs="Times New Roman"/>
                      <w:sz w:val="18"/>
                      <w:szCs w:val="18"/>
                      <w:highlight w:val="none"/>
                      <w:lang w:eastAsia="zh-CN"/>
                    </w:rPr>
                  </w:pPr>
                  <w:r>
                    <w:rPr>
                      <w:rFonts w:hint="default" w:ascii="Times New Roman" w:hAnsi="Times New Roman" w:eastAsia="宋体" w:cs="Times New Roman"/>
                      <w:kern w:val="0"/>
                      <w:sz w:val="18"/>
                      <w:szCs w:val="18"/>
                    </w:rPr>
                    <w:t>本项目</w:t>
                  </w:r>
                  <w:r>
                    <w:rPr>
                      <w:rFonts w:hint="default" w:ascii="Times New Roman" w:hAnsi="Times New Roman" w:eastAsia="宋体" w:cs="Times New Roman"/>
                      <w:kern w:val="0"/>
                      <w:sz w:val="18"/>
                      <w:szCs w:val="18"/>
                      <w:lang w:val="en-US" w:eastAsia="zh-CN"/>
                    </w:rPr>
                    <w:t>医疗废水经消毒处理后与生活污水、洗浴污水</w:t>
                  </w:r>
                  <w:r>
                    <w:rPr>
                      <w:rFonts w:hint="default" w:ascii="Times New Roman" w:hAnsi="Times New Roman" w:eastAsia="宋体" w:cs="Times New Roman"/>
                      <w:kern w:val="0"/>
                      <w:sz w:val="18"/>
                      <w:szCs w:val="18"/>
                    </w:rPr>
                    <w:t>经化粪池预处理后接管至城东污水处理厂集中处理</w:t>
                  </w:r>
                  <w:r>
                    <w:rPr>
                      <w:rFonts w:hint="default" w:ascii="Times New Roman" w:hAnsi="Times New Roman" w:eastAsia="宋体" w:cs="Times New Roman"/>
                      <w:kern w:val="0"/>
                      <w:sz w:val="18"/>
                      <w:szCs w:val="18"/>
                      <w:highlight w:val="none"/>
                      <w:lang w:eastAsia="zh-CN"/>
                    </w:rPr>
                    <w:t>。</w:t>
                  </w:r>
                  <w:r>
                    <w:rPr>
                      <w:rFonts w:hint="default" w:ascii="Times New Roman" w:hAnsi="Times New Roman" w:eastAsia="宋体" w:cs="Times New Roman"/>
                      <w:sz w:val="18"/>
                      <w:szCs w:val="18"/>
                      <w:highlight w:val="none"/>
                    </w:rPr>
                    <w:t>不直接排放至周边水</w:t>
                  </w:r>
                  <w:r>
                    <w:rPr>
                      <w:rFonts w:hint="default" w:ascii="Times New Roman" w:hAnsi="Times New Roman" w:eastAsia="宋体" w:cs="Times New Roman"/>
                      <w:sz w:val="18"/>
                      <w:szCs w:val="18"/>
                    </w:rPr>
                    <w:t>体</w:t>
                  </w:r>
                  <w:r>
                    <w:rPr>
                      <w:rFonts w:hint="default" w:ascii="Times New Roman" w:hAnsi="Times New Roman" w:eastAsia="宋体" w:cs="Times New Roman"/>
                      <w:sz w:val="18"/>
                      <w:szCs w:val="18"/>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697" w:hRule="atLeast"/>
                <w:jc w:val="center"/>
              </w:trPr>
              <w:tc>
                <w:tcPr>
                  <w:tcW w:w="1296"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环境风险防控</w:t>
                  </w:r>
                </w:p>
              </w:tc>
              <w:tc>
                <w:tcPr>
                  <w:tcW w:w="5707" w:type="dxa"/>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1．运输剧毒物质、危险化学品的船舶不得进入太湖。</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2．禁止向太湖流域水体排放或者倾倒油类、酸液、碱液、剧毒废渣废液、含放射性废渣废液、含病原体污水、工业废渣以及其他废弃物。</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3．加强太湖流域生态环境风险应急管控，着力提高防控太湖蓝藻水华风险预警和应急处置能力。</w:t>
                  </w:r>
                </w:p>
              </w:tc>
              <w:tc>
                <w:tcPr>
                  <w:tcW w:w="2160" w:type="dxa"/>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本项目不涉及</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8" w:hRule="atLeast"/>
                <w:jc w:val="center"/>
              </w:trPr>
              <w:tc>
                <w:tcPr>
                  <w:tcW w:w="1296" w:type="dxa"/>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资源利用效率要求</w:t>
                  </w:r>
                </w:p>
              </w:tc>
              <w:tc>
                <w:tcPr>
                  <w:tcW w:w="5707" w:type="dxa"/>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1．太湖流域加强水资源配置与调度，优先满足居民生活用水，兼顾生产、生态用水以及航运等需要。</w:t>
                  </w:r>
                </w:p>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2．2020年底前，太湖流域所有省级以上开发区开展园区循环化改造。</w:t>
                  </w:r>
                </w:p>
              </w:tc>
              <w:tc>
                <w:tcPr>
                  <w:tcW w:w="2160" w:type="dxa"/>
                  <w:vAlign w:val="center"/>
                </w:tcPr>
                <w:p>
                  <w:pPr>
                    <w:autoSpaceDE w:val="0"/>
                    <w:autoSpaceDN w:val="0"/>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本项目不涉及</w:t>
                  </w:r>
                </w:p>
              </w:tc>
            </w:tr>
          </w:tbl>
          <w:p>
            <w:pPr>
              <w:autoSpaceDE w:val="0"/>
              <w:autoSpaceDN w:val="0"/>
              <w:adjustRightInd w:val="0"/>
              <w:snapToGrid w:val="0"/>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综上所述，本项目的建设符合《省政府关于印发江苏省“三线一单”生态环境分区管控方案的通知》（苏政发</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2020</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49号）的相关要求。</w:t>
            </w:r>
          </w:p>
          <w:p>
            <w:pPr>
              <w:autoSpaceDE w:val="0"/>
              <w:autoSpaceDN w:val="0"/>
              <w:adjustRightInd w:val="0"/>
              <w:snapToGrid w:val="0"/>
              <w:spacing w:line="360" w:lineRule="auto"/>
              <w:ind w:firstLine="422" w:firstLineChars="200"/>
              <w:jc w:val="lef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6、与苏州市“三线一单”生态环境分区管控实施方案相符性</w:t>
            </w:r>
          </w:p>
          <w:p>
            <w:pPr>
              <w:autoSpaceDE w:val="0"/>
              <w:autoSpaceDN w:val="0"/>
              <w:adjustRightInd w:val="0"/>
              <w:snapToGrid w:val="0"/>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对照《苏州市“三线一单”生态环境分区管控实施方案》（苏环办字</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2020</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313号）文件中“（二）落实生态环境管控要求：优先保护单元，严格按照生态保护红线和生态空间管控区域管理规定进行管控。依法禁止或限制开发建设活动，确保生态环境功能不降低、面积不减少、性质不改变；优先开展生态功能受损区域生态保护修复活动，恢复生态系统服务功能。重点管控单元，主要推进产业布局优化、转型升级，不断提高资源利用效率加强污染物排放控制和环境风险防控，解决突出生态环境问题。一般管控单元，主要落实生态环境保护基本要求，加强生活污染和农业面源污染治理，推动区域环境质量持续改善。”</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本项目位于</w:t>
            </w:r>
            <w:r>
              <w:rPr>
                <w:rFonts w:hint="default" w:ascii="Times New Roman" w:hAnsi="Times New Roman" w:eastAsia="宋体" w:cs="Times New Roman"/>
                <w:color w:val="auto"/>
                <w:sz w:val="21"/>
                <w:szCs w:val="21"/>
              </w:rPr>
              <w:t>太仓市</w:t>
            </w:r>
            <w:r>
              <w:rPr>
                <w:rFonts w:hint="default" w:ascii="Times New Roman" w:hAnsi="Times New Roman" w:eastAsia="宋体" w:cs="Times New Roman"/>
                <w:color w:val="auto"/>
                <w:sz w:val="21"/>
                <w:szCs w:val="21"/>
                <w:lang w:val="en-US" w:eastAsia="zh-CN"/>
              </w:rPr>
              <w:t>高新区</w:t>
            </w:r>
            <w:r>
              <w:rPr>
                <w:rFonts w:hint="default" w:ascii="Times New Roman" w:hAnsi="Times New Roman" w:eastAsia="宋体" w:cs="Times New Roman"/>
                <w:color w:val="auto"/>
                <w:sz w:val="21"/>
                <w:szCs w:val="21"/>
              </w:rPr>
              <w:t>郑和中路376号20幢商铺06室</w:t>
            </w:r>
            <w:r>
              <w:rPr>
                <w:rFonts w:hint="default" w:ascii="Times New Roman" w:hAnsi="Times New Roman" w:eastAsia="宋体" w:cs="Times New Roman"/>
                <w:sz w:val="21"/>
                <w:szCs w:val="21"/>
              </w:rPr>
              <w:t>，属于苏州市重点保护单元。对照苏州市重点保护单元生态环境准入清单，具体分析如下表1-6。</w:t>
            </w:r>
          </w:p>
          <w:p>
            <w:pPr>
              <w:autoSpaceDE w:val="0"/>
              <w:autoSpaceDN w:val="0"/>
              <w:adjustRightInd w:val="0"/>
              <w:snapToGrid w:val="0"/>
              <w:spacing w:line="36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表1-6与《苏州市</w:t>
            </w:r>
            <w:r>
              <w:rPr>
                <w:rFonts w:hint="default" w:ascii="Times New Roman" w:hAnsi="Times New Roman" w:eastAsia="宋体" w:cs="Times New Roman"/>
                <w:b/>
                <w:bCs/>
                <w:color w:val="auto"/>
                <w:sz w:val="21"/>
                <w:szCs w:val="21"/>
              </w:rPr>
              <w:t>“三线一单”生态环境分区管控实施方案》</w:t>
            </w:r>
            <w:r>
              <w:rPr>
                <w:rFonts w:hint="default" w:ascii="Times New Roman" w:hAnsi="Times New Roman" w:eastAsia="宋体" w:cs="Times New Roman"/>
                <w:b/>
                <w:bCs/>
                <w:sz w:val="21"/>
                <w:szCs w:val="21"/>
              </w:rPr>
              <w:t>相符性分析</w:t>
            </w:r>
          </w:p>
          <w:tbl>
            <w:tblPr>
              <w:tblStyle w:val="3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0"/>
              <w:gridCol w:w="773"/>
              <w:gridCol w:w="3911"/>
              <w:gridCol w:w="2944"/>
              <w:gridCol w:w="1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284"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序号</w:t>
                  </w:r>
                </w:p>
              </w:tc>
              <w:tc>
                <w:tcPr>
                  <w:tcW w:w="2558" w:type="pct"/>
                  <w:gridSpan w:val="2"/>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准入清单</w:t>
                  </w:r>
                </w:p>
              </w:tc>
              <w:tc>
                <w:tcPr>
                  <w:tcW w:w="1608"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本项目相符性分析</w:t>
                  </w:r>
                </w:p>
              </w:tc>
              <w:tc>
                <w:tcPr>
                  <w:tcW w:w="548"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相符</w:t>
                  </w:r>
                  <w:r>
                    <w:rPr>
                      <w:rFonts w:hint="default" w:ascii="Times New Roman" w:hAnsi="Times New Roman" w:eastAsia="宋体" w:cs="Times New Roman"/>
                      <w:sz w:val="18"/>
                      <w:szCs w:val="18"/>
                      <w:lang w:val="en-US"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jc w:val="center"/>
              </w:trPr>
              <w:tc>
                <w:tcPr>
                  <w:tcW w:w="284"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w:t>
                  </w:r>
                </w:p>
              </w:tc>
              <w:tc>
                <w:tcPr>
                  <w:tcW w:w="422"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空间布局约束</w:t>
                  </w:r>
                </w:p>
              </w:tc>
              <w:tc>
                <w:tcPr>
                  <w:tcW w:w="2135" w:type="pct"/>
                  <w:vAlign w:val="center"/>
                </w:tcPr>
                <w:p>
                  <w:pPr>
                    <w:autoSpaceDE w:val="0"/>
                    <w:autoSpaceDN w:val="0"/>
                    <w:adjustRightInd w:val="0"/>
                    <w:snapToGrid w:val="0"/>
                    <w:spacing w:line="276" w:lineRule="auto"/>
                    <w:ind w:firstLine="360" w:firstLineChars="200"/>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禁止引进列入《产业结构调整指导目录》《江苏省工业和信息产业结构调整指导目录》《江苏省工业和信息产业结构调整、限制、淘汰目录及能耗限额》淘汰类的产业；禁止引进列入《外商投资产业指导目录》禁止类的产业。（2）严格执行园区总体规划及规划环评中提出的空间布局和产业准入要求，禁止引进不符合园区产业定位的项目。（3）严格执行《江苏省太湖水污染防治条例》的分级保护要求，禁止引进不符合《条例》要求的项目。（4）严格执行《阳澄湖水源水质保护条例》相关管控要求。（5）严格执行《中华人民共和国长江保护法》。（6）禁止引进列入上级生态环境负面清单的项目。</w:t>
                  </w:r>
                </w:p>
              </w:tc>
              <w:tc>
                <w:tcPr>
                  <w:tcW w:w="1608" w:type="pct"/>
                  <w:vAlign w:val="center"/>
                </w:tcPr>
                <w:p>
                  <w:pP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本项目不属于《产业结构调整指导目录》淘汰、限制类的产业。本项目</w:t>
                  </w:r>
                  <w:r>
                    <w:rPr>
                      <w:rFonts w:hint="default" w:ascii="Times New Roman" w:hAnsi="Times New Roman" w:eastAsia="宋体" w:cs="Times New Roman"/>
                      <w:sz w:val="18"/>
                      <w:szCs w:val="18"/>
                      <w:lang w:val="en-US" w:eastAsia="zh-CN"/>
                    </w:rPr>
                    <w:t>属于</w:t>
                  </w:r>
                  <w:r>
                    <w:rPr>
                      <w:rFonts w:hint="default" w:ascii="Times New Roman" w:hAnsi="Times New Roman" w:eastAsia="宋体" w:cs="Times New Roman"/>
                      <w:sz w:val="18"/>
                      <w:szCs w:val="18"/>
                    </w:rPr>
                    <w:t>O8222宠物医院服务，符合太仓市高新技术产业园产品定位。</w:t>
                  </w:r>
                  <w:r>
                    <w:rPr>
                      <w:rFonts w:hint="default" w:ascii="Times New Roman" w:hAnsi="Times New Roman" w:eastAsia="宋体" w:cs="Times New Roman"/>
                      <w:kern w:val="0"/>
                      <w:sz w:val="18"/>
                      <w:szCs w:val="18"/>
                    </w:rPr>
                    <w:t>本项目</w:t>
                  </w:r>
                  <w:r>
                    <w:rPr>
                      <w:rFonts w:hint="default" w:ascii="Times New Roman" w:hAnsi="Times New Roman" w:eastAsia="宋体" w:cs="Times New Roman"/>
                      <w:kern w:val="0"/>
                      <w:sz w:val="18"/>
                      <w:szCs w:val="18"/>
                      <w:lang w:val="en-US" w:eastAsia="zh-CN"/>
                    </w:rPr>
                    <w:t>医疗废水经消毒处理后与生活污水、</w:t>
                  </w:r>
                  <w:r>
                    <w:rPr>
                      <w:rFonts w:hint="default" w:ascii="Times New Roman" w:hAnsi="Times New Roman" w:eastAsia="宋体" w:cs="Times New Roman"/>
                      <w:sz w:val="18"/>
                      <w:szCs w:val="18"/>
                      <w:lang w:val="en-US" w:eastAsia="zh-CN"/>
                    </w:rPr>
                    <w:t>洗浴污水</w:t>
                  </w:r>
                  <w:r>
                    <w:rPr>
                      <w:rFonts w:hint="default" w:ascii="Times New Roman" w:hAnsi="Times New Roman" w:eastAsia="宋体" w:cs="Times New Roman"/>
                      <w:sz w:val="18"/>
                      <w:szCs w:val="18"/>
                    </w:rPr>
                    <w:t>经化粪池预处理后接管至城东</w:t>
                  </w:r>
                  <w:r>
                    <w:rPr>
                      <w:rFonts w:hint="default" w:ascii="Times New Roman" w:hAnsi="Times New Roman" w:eastAsia="宋体" w:cs="Times New Roman"/>
                      <w:kern w:val="0"/>
                      <w:sz w:val="18"/>
                      <w:szCs w:val="18"/>
                    </w:rPr>
                    <w:t>污水处理厂集中处理</w:t>
                  </w:r>
                  <w:r>
                    <w:rPr>
                      <w:rFonts w:hint="default" w:ascii="Times New Roman" w:hAnsi="Times New Roman" w:eastAsia="宋体" w:cs="Times New Roman"/>
                      <w:kern w:val="0"/>
                      <w:sz w:val="18"/>
                      <w:szCs w:val="18"/>
                      <w:highlight w:val="none"/>
                      <w:lang w:eastAsia="zh-CN"/>
                    </w:rPr>
                    <w:t>。</w:t>
                  </w:r>
                  <w:r>
                    <w:rPr>
                      <w:rFonts w:hint="default" w:ascii="Times New Roman" w:hAnsi="Times New Roman" w:eastAsia="宋体" w:cs="Times New Roman"/>
                      <w:sz w:val="18"/>
                      <w:szCs w:val="18"/>
                      <w:highlight w:val="none"/>
                    </w:rPr>
                    <w:t>不直接排放至周边水</w:t>
                  </w:r>
                  <w:r>
                    <w:rPr>
                      <w:rFonts w:hint="default" w:ascii="Times New Roman" w:hAnsi="Times New Roman" w:eastAsia="宋体" w:cs="Times New Roman"/>
                      <w:sz w:val="18"/>
                      <w:szCs w:val="18"/>
                    </w:rPr>
                    <w:t>体</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符合《江苏省太湖水污染防治条例》的分级保护要求。本项目为O8222宠物医院服务，不在生态环境负面清单。</w:t>
                  </w:r>
                </w:p>
              </w:tc>
              <w:tc>
                <w:tcPr>
                  <w:tcW w:w="548"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jc w:val="center"/>
              </w:trPr>
              <w:tc>
                <w:tcPr>
                  <w:tcW w:w="284"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w:t>
                  </w:r>
                </w:p>
              </w:tc>
              <w:tc>
                <w:tcPr>
                  <w:tcW w:w="422"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污染物排放管理</w:t>
                  </w:r>
                </w:p>
              </w:tc>
              <w:tc>
                <w:tcPr>
                  <w:tcW w:w="2135" w:type="pct"/>
                  <w:vAlign w:val="center"/>
                </w:tcPr>
                <w:p>
                  <w:pPr>
                    <w:autoSpaceDE w:val="0"/>
                    <w:autoSpaceDN w:val="0"/>
                    <w:adjustRightInd w:val="0"/>
                    <w:snapToGrid w:val="0"/>
                    <w:spacing w:line="276" w:lineRule="auto"/>
                    <w:ind w:firstLine="360" w:firstLineChars="200"/>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园区内企业污染物排放应满足相关国家、地方污染物排放标准要求。（2）园区污染物排放总量按照园区总体规划、规划环评及审查意见的要求进行管控。（3）根据区域环境质量改善目标，采取有效措施减少主要污染物排放总量，确保区域环境质量持续改善。</w:t>
                  </w:r>
                </w:p>
              </w:tc>
              <w:tc>
                <w:tcPr>
                  <w:tcW w:w="1608" w:type="pct"/>
                  <w:vAlign w:val="center"/>
                </w:tcPr>
                <w:p>
                  <w:pPr>
                    <w:autoSpaceDE w:val="0"/>
                    <w:autoSpaceDN w:val="0"/>
                    <w:adjustRightInd w:val="0"/>
                    <w:snapToGrid w:val="0"/>
                    <w:spacing w:line="276" w:lineRule="auto"/>
                    <w:ind w:firstLine="360" w:firstLineChars="200"/>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highlight w:val="none"/>
                    </w:rPr>
                    <w:t>本项目</w:t>
                  </w:r>
                  <w:r>
                    <w:rPr>
                      <w:rFonts w:hint="default" w:ascii="Times New Roman" w:hAnsi="Times New Roman" w:eastAsia="宋体" w:cs="Times New Roman"/>
                      <w:sz w:val="18"/>
                      <w:szCs w:val="18"/>
                      <w:highlight w:val="none"/>
                      <w:lang w:val="en-US" w:eastAsia="zh-CN"/>
                    </w:rPr>
                    <w:t>污染物</w:t>
                  </w:r>
                  <w:r>
                    <w:rPr>
                      <w:rFonts w:hint="default" w:ascii="Times New Roman" w:hAnsi="Times New Roman" w:eastAsia="宋体" w:cs="Times New Roman"/>
                      <w:sz w:val="18"/>
                      <w:szCs w:val="18"/>
                      <w:highlight w:val="none"/>
                    </w:rPr>
                    <w:t>都经过处理后达标排放。本项目排放污染物将申请污染物排放总量。</w:t>
                  </w:r>
                </w:p>
              </w:tc>
              <w:tc>
                <w:tcPr>
                  <w:tcW w:w="548"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8" w:hRule="atLeast"/>
                <w:jc w:val="center"/>
              </w:trPr>
              <w:tc>
                <w:tcPr>
                  <w:tcW w:w="284"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w:t>
                  </w:r>
                </w:p>
              </w:tc>
              <w:tc>
                <w:tcPr>
                  <w:tcW w:w="422"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环境风险</w:t>
                  </w:r>
                </w:p>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防控</w:t>
                  </w:r>
                </w:p>
              </w:tc>
              <w:tc>
                <w:tcPr>
                  <w:tcW w:w="2135" w:type="pct"/>
                  <w:vAlign w:val="center"/>
                </w:tcPr>
                <w:p>
                  <w:pPr>
                    <w:autoSpaceDE w:val="0"/>
                    <w:autoSpaceDN w:val="0"/>
                    <w:adjustRightInd w:val="0"/>
                    <w:snapToGrid w:val="0"/>
                    <w:spacing w:line="276" w:lineRule="auto"/>
                    <w:ind w:firstLine="360" w:firstLineChars="200"/>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建立以园区突发环境事件应急处置机构为核心，与地方政府和企事业单位应急处置机构联动的应急响应体系，加强应急物资装备储备，编制突发环境事件应急预案，定期开展演练。（2）生产、使用、储存危险化学品或其他存在环境风险的企事业单位，应当制定风险防范措施，编制突发环境事件应急预案，防止发生环境事故。（3）加强环境影响跟踪监测，建立健全各环境要素监控体系，完善并落实园区日常环境监测与污染源监控计划。</w:t>
                  </w:r>
                </w:p>
              </w:tc>
              <w:tc>
                <w:tcPr>
                  <w:tcW w:w="1608" w:type="pct"/>
                  <w:vAlign w:val="center"/>
                </w:tcPr>
                <w:p>
                  <w:pPr>
                    <w:autoSpaceDE w:val="0"/>
                    <w:autoSpaceDN w:val="0"/>
                    <w:adjustRightInd w:val="0"/>
                    <w:snapToGrid w:val="0"/>
                    <w:spacing w:line="276" w:lineRule="auto"/>
                    <w:ind w:firstLine="360" w:firstLineChars="200"/>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highlight w:val="none"/>
                      <w:lang w:val="en-US" w:eastAsia="zh-CN"/>
                    </w:rPr>
                    <w:t>企业应急物资齐全，定期开展演练，已制定相应风险措施，避免发生环境风险事故；项目储存少量化学品，已针对制定风险防范措施，项目已制定监测计划，对相关污染物定期开展监测</w:t>
                  </w:r>
                </w:p>
              </w:tc>
              <w:tc>
                <w:tcPr>
                  <w:tcW w:w="548"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84"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w:t>
                  </w:r>
                </w:p>
              </w:tc>
              <w:tc>
                <w:tcPr>
                  <w:tcW w:w="422"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资源开发</w:t>
                  </w:r>
                </w:p>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效率要求</w:t>
                  </w:r>
                </w:p>
              </w:tc>
              <w:tc>
                <w:tcPr>
                  <w:tcW w:w="2135" w:type="pct"/>
                  <w:vAlign w:val="center"/>
                </w:tcPr>
                <w:p>
                  <w:pPr>
                    <w:autoSpaceDE w:val="0"/>
                    <w:autoSpaceDN w:val="0"/>
                    <w:adjustRightInd w:val="0"/>
                    <w:snapToGrid w:val="0"/>
                    <w:spacing w:line="276" w:lineRule="auto"/>
                    <w:ind w:firstLine="360" w:firstLineChars="200"/>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园区内企业清洁生产水平、单位工业增加值新鲜水耗和综合能耗应满足园区总体规划、规划环评及审查意见要求。（2）禁止销售使用燃料为“Ⅲ类”（严格），具体包括：1、煤炭及其制品（包括原煤、散煤、煤矸石、煤泥、煤粉、水煤浆、型煤、焦炭、兰炭等）；2、石油焦、油页岩、原油、重油、渣油、煤焦油；3、非专用锅炉或未配置高效除尘设施的专用锅炉燃用的生物质成型燃料；4、国家规定的其他高污染燃料。</w:t>
                  </w:r>
                </w:p>
              </w:tc>
              <w:tc>
                <w:tcPr>
                  <w:tcW w:w="1608" w:type="pct"/>
                  <w:vAlign w:val="center"/>
                </w:tcPr>
                <w:p>
                  <w:pPr>
                    <w:autoSpaceDE w:val="0"/>
                    <w:autoSpaceDN w:val="0"/>
                    <w:adjustRightInd w:val="0"/>
                    <w:snapToGrid w:val="0"/>
                    <w:spacing w:line="276" w:lineRule="auto"/>
                    <w:ind w:firstLine="360" w:firstLineChars="200"/>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本项目主要使用</w:t>
                  </w:r>
                  <w:r>
                    <w:rPr>
                      <w:rFonts w:hint="default" w:ascii="Times New Roman" w:hAnsi="Times New Roman" w:eastAsia="宋体" w:cs="Times New Roman"/>
                      <w:sz w:val="18"/>
                      <w:szCs w:val="18"/>
                      <w:lang w:eastAsia="zh-CN"/>
                    </w:rPr>
                    <w:t>水和</w:t>
                  </w:r>
                  <w:r>
                    <w:rPr>
                      <w:rFonts w:hint="default" w:ascii="Times New Roman" w:hAnsi="Times New Roman" w:eastAsia="宋体" w:cs="Times New Roman"/>
                      <w:sz w:val="18"/>
                      <w:szCs w:val="18"/>
                    </w:rPr>
                    <w:t>电能，属于清洁能源。</w:t>
                  </w:r>
                </w:p>
              </w:tc>
              <w:tc>
                <w:tcPr>
                  <w:tcW w:w="548" w:type="pct"/>
                  <w:vAlign w:val="center"/>
                </w:tcPr>
                <w:p>
                  <w:pPr>
                    <w:autoSpaceDE w:val="0"/>
                    <w:autoSpaceDN w:val="0"/>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相符</w:t>
                  </w:r>
                </w:p>
              </w:tc>
            </w:tr>
          </w:tbl>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项目满足上述空间布局约束、污染物排放管控、环境风险防控、资源开发效率等相关要求，与《江苏省“三线一单”生态环境分区管控方案》（苏政发〔2020〕49号）和《苏州市“三线一单”生态环境分区管控实施方案》（苏环办字</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2020</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313号）相符。</w:t>
            </w:r>
          </w:p>
          <w:p>
            <w:pPr>
              <w:autoSpaceDE w:val="0"/>
              <w:autoSpaceDN w:val="0"/>
              <w:adjustRightInd w:val="0"/>
              <w:snapToGrid w:val="0"/>
              <w:spacing w:line="360" w:lineRule="auto"/>
              <w:ind w:firstLine="422" w:firstLineChars="200"/>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7、与《苏州市“十四五”生态环境保护规划》相符性分析</w:t>
            </w:r>
          </w:p>
          <w:p>
            <w:pPr>
              <w:autoSpaceDE w:val="0"/>
              <w:autoSpaceDN w:val="0"/>
              <w:adjustRightInd w:val="0"/>
              <w:snapToGrid w:val="0"/>
              <w:spacing w:line="360" w:lineRule="auto"/>
              <w:ind w:firstLine="420" w:firstLineChars="200"/>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根据《苏州市“十四五”生态环境保护规划》第三节、强化PM</w:t>
            </w:r>
            <w:r>
              <w:rPr>
                <w:rFonts w:hint="default" w:ascii="Times New Roman" w:hAnsi="Times New Roman" w:eastAsia="宋体" w:cs="Times New Roman"/>
                <w:bCs/>
                <w:kern w:val="0"/>
                <w:sz w:val="21"/>
                <w:szCs w:val="21"/>
                <w:vertAlign w:val="subscript"/>
              </w:rPr>
              <w:t>2.5</w:t>
            </w:r>
            <w:r>
              <w:rPr>
                <w:rFonts w:hint="default" w:ascii="Times New Roman" w:hAnsi="Times New Roman" w:eastAsia="宋体" w:cs="Times New Roman"/>
                <w:bCs/>
                <w:kern w:val="0"/>
                <w:sz w:val="21"/>
                <w:szCs w:val="21"/>
              </w:rPr>
              <w:t>和O</w:t>
            </w:r>
            <w:r>
              <w:rPr>
                <w:rFonts w:hint="default" w:ascii="Times New Roman" w:hAnsi="Times New Roman" w:eastAsia="宋体" w:cs="Times New Roman"/>
                <w:bCs/>
                <w:kern w:val="0"/>
                <w:sz w:val="21"/>
                <w:szCs w:val="21"/>
                <w:vertAlign w:val="subscript"/>
              </w:rPr>
              <w:t>3</w:t>
            </w:r>
            <w:r>
              <w:rPr>
                <w:rFonts w:hint="default" w:ascii="Times New Roman" w:hAnsi="Times New Roman" w:eastAsia="宋体" w:cs="Times New Roman"/>
                <w:bCs/>
                <w:kern w:val="0"/>
                <w:sz w:val="21"/>
                <w:szCs w:val="21"/>
              </w:rPr>
              <w:t>协同治理，提升综合“气质”中二、加大VOCs治理力度分类实施原材料绿色化替代。按照国家、省清洁原料替代要求，在技术成熟领域持续推进使用低VOCs含量的涂料、油墨、胶粘剂、清洗剂和其他低（无）VOCs含量、低反应活性的原辅材料，提高木制家具、工程机械制造、汽车制造行业低挥发性有机物含量涂料产品使用比例，在技术尚未全部成熟领域开展替代试点，从源头减少VOCs产生。</w:t>
            </w:r>
          </w:p>
          <w:p>
            <w:pPr>
              <w:autoSpaceDE w:val="0"/>
              <w:autoSpaceDN w:val="0"/>
              <w:adjustRightInd w:val="0"/>
              <w:snapToGrid w:val="0"/>
              <w:spacing w:line="360" w:lineRule="auto"/>
              <w:ind w:firstLine="420" w:firstLineChars="200"/>
              <w:rPr>
                <w:rFonts w:hint="default" w:ascii="Times New Roman" w:hAnsi="Times New Roman" w:eastAsia="宋体" w:cs="Times New Roman"/>
                <w:bCs/>
                <w:kern w:val="0"/>
                <w:sz w:val="21"/>
                <w:szCs w:val="21"/>
              </w:rPr>
            </w:pPr>
            <w:r>
              <w:rPr>
                <w:rFonts w:hint="default" w:ascii="Times New Roman" w:hAnsi="Times New Roman" w:eastAsia="宋体" w:cs="Times New Roman"/>
                <w:bCs/>
                <w:kern w:val="0"/>
                <w:sz w:val="21"/>
                <w:szCs w:val="21"/>
              </w:rPr>
              <w:t>本项目</w:t>
            </w:r>
            <w:r>
              <w:rPr>
                <w:rFonts w:hint="default" w:ascii="Times New Roman" w:hAnsi="Times New Roman" w:eastAsia="宋体" w:cs="Times New Roman"/>
                <w:bCs/>
                <w:kern w:val="0"/>
                <w:sz w:val="21"/>
                <w:szCs w:val="21"/>
                <w:lang w:val="en-US" w:eastAsia="zh-CN"/>
              </w:rPr>
              <w:t>不使用含</w:t>
            </w:r>
            <w:r>
              <w:rPr>
                <w:rFonts w:hint="default" w:ascii="Times New Roman" w:hAnsi="Times New Roman" w:eastAsia="宋体" w:cs="Times New Roman"/>
                <w:bCs/>
                <w:kern w:val="0"/>
                <w:sz w:val="21"/>
                <w:szCs w:val="21"/>
              </w:rPr>
              <w:t>VOCs</w:t>
            </w:r>
            <w:r>
              <w:rPr>
                <w:rFonts w:hint="default" w:ascii="Times New Roman" w:hAnsi="Times New Roman" w:eastAsia="宋体" w:cs="Times New Roman"/>
                <w:bCs/>
                <w:kern w:val="0"/>
                <w:sz w:val="21"/>
                <w:szCs w:val="21"/>
                <w:lang w:eastAsia="zh-CN"/>
              </w:rPr>
              <w:t>的</w:t>
            </w:r>
            <w:r>
              <w:rPr>
                <w:rFonts w:hint="default" w:ascii="Times New Roman" w:hAnsi="Times New Roman" w:eastAsia="宋体" w:cs="Times New Roman"/>
                <w:bCs/>
                <w:kern w:val="0"/>
                <w:sz w:val="21"/>
                <w:szCs w:val="21"/>
              </w:rPr>
              <w:t>原辅材料，因此，本项目符合《苏州市“十四五”生态环境保护规划》相关要求。</w:t>
            </w:r>
          </w:p>
          <w:p>
            <w:pPr>
              <w:numPr>
                <w:ilvl w:val="0"/>
                <w:numId w:val="2"/>
              </w:numPr>
              <w:spacing w:line="360" w:lineRule="auto"/>
              <w:ind w:firstLine="422" w:firstLineChars="20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项目与市政府关于印发《太仓市“十四五”生态环境保护规划》的通知（太政府[2022]3号）相符性分析</w:t>
            </w:r>
          </w:p>
          <w:p>
            <w:pPr>
              <w:spacing w:line="360" w:lineRule="auto"/>
              <w:ind w:firstLine="1054" w:firstLineChars="50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表1-7项目与太仓市“十四五”生态环境保护规划相符性分析</w:t>
            </w:r>
          </w:p>
          <w:tbl>
            <w:tblPr>
              <w:tblStyle w:val="3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6674"/>
              <w:gridCol w:w="1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pct"/>
                  <w:vAlign w:val="center"/>
                </w:tcPr>
                <w:p>
                  <w:pPr>
                    <w:spacing w:line="360" w:lineRule="auto"/>
                    <w:jc w:val="center"/>
                    <w:rPr>
                      <w:rFonts w:hint="eastAsia" w:ascii="宋体" w:hAnsi="宋体" w:eastAsia="宋体" w:cs="宋体"/>
                      <w:sz w:val="18"/>
                      <w:szCs w:val="18"/>
                    </w:rPr>
                  </w:pPr>
                  <w:r>
                    <w:rPr>
                      <w:rFonts w:hint="eastAsia" w:ascii="宋体" w:hAnsi="宋体" w:eastAsia="宋体" w:cs="宋体"/>
                      <w:sz w:val="18"/>
                      <w:szCs w:val="18"/>
                    </w:rPr>
                    <w:t>类别</w:t>
                  </w:r>
                </w:p>
              </w:tc>
              <w:tc>
                <w:tcPr>
                  <w:tcW w:w="3646" w:type="pct"/>
                  <w:vAlign w:val="center"/>
                </w:tcPr>
                <w:p>
                  <w:pPr>
                    <w:spacing w:line="360" w:lineRule="auto"/>
                    <w:jc w:val="center"/>
                    <w:rPr>
                      <w:rFonts w:hint="eastAsia" w:ascii="宋体" w:hAnsi="宋体" w:eastAsia="宋体" w:cs="宋体"/>
                      <w:sz w:val="18"/>
                      <w:szCs w:val="18"/>
                    </w:rPr>
                  </w:pPr>
                  <w:r>
                    <w:rPr>
                      <w:rFonts w:hint="eastAsia" w:ascii="宋体" w:hAnsi="宋体" w:eastAsia="宋体" w:cs="宋体"/>
                      <w:sz w:val="18"/>
                      <w:szCs w:val="18"/>
                    </w:rPr>
                    <w:t>文件相关要求</w:t>
                  </w:r>
                </w:p>
              </w:tc>
              <w:tc>
                <w:tcPr>
                  <w:tcW w:w="555" w:type="pct"/>
                  <w:vAlign w:val="center"/>
                </w:tcPr>
                <w:p>
                  <w:pPr>
                    <w:spacing w:line="360" w:lineRule="auto"/>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相符情况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pct"/>
                  <w:vAlign w:val="center"/>
                </w:tcPr>
                <w:p>
                  <w:pPr>
                    <w:spacing w:line="276" w:lineRule="auto"/>
                    <w:jc w:val="center"/>
                    <w:rPr>
                      <w:rFonts w:hint="eastAsia" w:ascii="宋体" w:hAnsi="宋体" w:eastAsia="宋体" w:cs="宋体"/>
                      <w:sz w:val="18"/>
                      <w:szCs w:val="18"/>
                    </w:rPr>
                  </w:pPr>
                  <w:r>
                    <w:rPr>
                      <w:rFonts w:hint="eastAsia" w:ascii="宋体" w:hAnsi="宋体" w:eastAsia="宋体" w:cs="宋体"/>
                      <w:sz w:val="18"/>
                      <w:szCs w:val="18"/>
                    </w:rPr>
                    <w:t>推进城市大气环境质量达标</w:t>
                  </w:r>
                </w:p>
              </w:tc>
              <w:tc>
                <w:tcPr>
                  <w:tcW w:w="3646" w:type="pct"/>
                  <w:vAlign w:val="center"/>
                </w:tcPr>
                <w:p>
                  <w:pPr>
                    <w:spacing w:line="276" w:lineRule="auto"/>
                    <w:ind w:right="-55" w:rightChars="-26"/>
                    <w:jc w:val="left"/>
                    <w:rPr>
                      <w:rFonts w:hint="eastAsia" w:ascii="宋体" w:hAnsi="宋体" w:eastAsia="宋体" w:cs="宋体"/>
                      <w:sz w:val="18"/>
                      <w:szCs w:val="18"/>
                    </w:rPr>
                  </w:pPr>
                  <w:r>
                    <w:rPr>
                      <w:rFonts w:hint="eastAsia" w:ascii="宋体" w:hAnsi="宋体" w:eastAsia="宋体" w:cs="宋体"/>
                      <w:sz w:val="18"/>
                      <w:szCs w:val="18"/>
                    </w:rPr>
                    <w:t>以持续改善大气环境质量为导向，突出抓好重点时段细颗粒物（PM</w:t>
                  </w:r>
                  <w:r>
                    <w:rPr>
                      <w:rFonts w:hint="eastAsia" w:ascii="宋体" w:hAnsi="宋体" w:eastAsia="宋体" w:cs="宋体"/>
                      <w:sz w:val="18"/>
                      <w:szCs w:val="18"/>
                      <w:vertAlign w:val="subscript"/>
                    </w:rPr>
                    <w:t>2.5</w:t>
                  </w:r>
                  <w:r>
                    <w:rPr>
                      <w:rFonts w:hint="eastAsia" w:ascii="宋体" w:hAnsi="宋体" w:eastAsia="宋体" w:cs="宋体"/>
                      <w:sz w:val="18"/>
                      <w:szCs w:val="18"/>
                    </w:rPr>
                    <w:t>）和臭氧（O</w:t>
                  </w:r>
                  <w:r>
                    <w:rPr>
                      <w:rFonts w:hint="eastAsia" w:ascii="宋体" w:hAnsi="宋体" w:eastAsia="宋体" w:cs="宋体"/>
                      <w:sz w:val="18"/>
                      <w:szCs w:val="18"/>
                      <w:vertAlign w:val="subscript"/>
                    </w:rPr>
                    <w:t>3</w:t>
                  </w:r>
                  <w:r>
                    <w:rPr>
                      <w:rFonts w:hint="eastAsia" w:ascii="宋体" w:hAnsi="宋体" w:eastAsia="宋体" w:cs="宋体"/>
                      <w:sz w:val="18"/>
                      <w:szCs w:val="18"/>
                    </w:rPr>
                    <w:t>）协同控制，强化点源、交通源、城市面源污染综合治理，围绕空气质量提升目标</w:t>
                  </w:r>
                  <w:r>
                    <w:rPr>
                      <w:rFonts w:hint="eastAsia" w:ascii="宋体" w:hAnsi="宋体" w:eastAsia="宋体" w:cs="宋体"/>
                      <w:sz w:val="18"/>
                      <w:szCs w:val="18"/>
                      <w:lang w:eastAsia="zh-CN"/>
                    </w:rPr>
                    <w:t>，</w:t>
                  </w:r>
                  <w:r>
                    <w:rPr>
                      <w:rFonts w:hint="eastAsia" w:ascii="宋体" w:hAnsi="宋体" w:eastAsia="宋体" w:cs="宋体"/>
                      <w:sz w:val="18"/>
                      <w:szCs w:val="18"/>
                    </w:rPr>
                    <w:t>制定实施空气质量达标规划或提升计划，采取有效措施，保持和提升大气环境质量。到2025年，全市空气质量优良天数比例达到86%以上，基本消除重度及以上污染天气，PM</w:t>
                  </w:r>
                  <w:r>
                    <w:rPr>
                      <w:rFonts w:hint="eastAsia" w:ascii="宋体" w:hAnsi="宋体" w:eastAsia="宋体" w:cs="宋体"/>
                      <w:sz w:val="18"/>
                      <w:szCs w:val="18"/>
                      <w:vertAlign w:val="subscript"/>
                    </w:rPr>
                    <w:t>2.5</w:t>
                  </w:r>
                  <w:r>
                    <w:rPr>
                      <w:rFonts w:hint="eastAsia" w:ascii="宋体" w:hAnsi="宋体" w:eastAsia="宋体" w:cs="宋体"/>
                      <w:sz w:val="18"/>
                      <w:szCs w:val="18"/>
                    </w:rPr>
                    <w:t>年均浓度力争达到25微克/立方米，臭氧污染得到明显改善，完成苏州下达的指标任务。</w:t>
                  </w:r>
                </w:p>
              </w:tc>
              <w:tc>
                <w:tcPr>
                  <w:tcW w:w="555" w:type="pct"/>
                  <w:vAlign w:val="center"/>
                </w:tcPr>
                <w:p>
                  <w:pPr>
                    <w:spacing w:line="360" w:lineRule="auto"/>
                    <w:jc w:val="center"/>
                    <w:rPr>
                      <w:rFonts w:hint="eastAsia" w:ascii="宋体" w:hAnsi="宋体" w:eastAsia="宋体" w:cs="宋体"/>
                      <w:b/>
                      <w:sz w:val="18"/>
                      <w:szCs w:val="18"/>
                    </w:rPr>
                  </w:pPr>
                  <w:r>
                    <w:rPr>
                      <w:rFonts w:hint="eastAsia" w:ascii="宋体" w:hAnsi="宋体" w:eastAsia="宋体" w:cs="宋体"/>
                      <w:sz w:val="18"/>
                      <w:szCs w:val="18"/>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pct"/>
                  <w:vAlign w:val="center"/>
                </w:tcPr>
                <w:p>
                  <w:pPr>
                    <w:spacing w:line="360" w:lineRule="auto"/>
                    <w:rPr>
                      <w:rFonts w:hint="eastAsia" w:ascii="宋体" w:hAnsi="宋体" w:eastAsia="宋体" w:cs="宋体"/>
                      <w:b/>
                      <w:sz w:val="18"/>
                      <w:szCs w:val="18"/>
                    </w:rPr>
                  </w:pPr>
                  <w:r>
                    <w:rPr>
                      <w:rFonts w:hint="eastAsia" w:ascii="宋体" w:hAnsi="宋体" w:eastAsia="宋体" w:cs="宋体"/>
                      <w:kern w:val="0"/>
                      <w:sz w:val="18"/>
                      <w:szCs w:val="18"/>
                    </w:rPr>
                    <w:t>推进固定源废气治理</w:t>
                  </w:r>
                </w:p>
              </w:tc>
              <w:tc>
                <w:tcPr>
                  <w:tcW w:w="3646" w:type="pct"/>
                  <w:vAlign w:val="center"/>
                </w:tcPr>
                <w:p>
                  <w:pPr>
                    <w:autoSpaceDE w:val="0"/>
                    <w:autoSpaceDN w:val="0"/>
                    <w:adjustRightInd w:val="0"/>
                    <w:spacing w:line="276" w:lineRule="auto"/>
                    <w:jc w:val="left"/>
                    <w:rPr>
                      <w:rFonts w:hint="eastAsia" w:ascii="宋体" w:hAnsi="宋体" w:eastAsia="宋体" w:cs="宋体"/>
                      <w:kern w:val="0"/>
                      <w:sz w:val="18"/>
                      <w:szCs w:val="18"/>
                    </w:rPr>
                  </w:pPr>
                  <w:r>
                    <w:rPr>
                      <w:rFonts w:hint="eastAsia" w:ascii="宋体" w:hAnsi="宋体" w:eastAsia="宋体" w:cs="宋体"/>
                      <w:kern w:val="0"/>
                      <w:sz w:val="18"/>
                      <w:szCs w:val="18"/>
                    </w:rPr>
                    <w:t>推进电力行业稳定达标。严格执行国家、省电力行业大气污染物排放标准，组织专家对电厂特别是自备电厂在线监控设备规范化管理、超低排放稳定运行等环节开展现场评估，提升企业管理水平，确保电力行业稳定达标排放。推进非电力行业深度治理。实行氮氧化物深度减排和超低排放改造，强化工业污染全过程控制，实施全行业全要素达标排放。对大气污染排放重点行业企业及锅炉采用污染防治先进可行技术，使重点大气污染物排放浓度达到国家、省、市的超低排放要求。</w:t>
                  </w:r>
                </w:p>
                <w:p>
                  <w:pPr>
                    <w:autoSpaceDE w:val="0"/>
                    <w:autoSpaceDN w:val="0"/>
                    <w:adjustRightInd w:val="0"/>
                    <w:spacing w:line="276" w:lineRule="auto"/>
                    <w:jc w:val="left"/>
                    <w:rPr>
                      <w:rFonts w:hint="eastAsia" w:ascii="宋体" w:hAnsi="宋体" w:eastAsia="宋体" w:cs="宋体"/>
                      <w:kern w:val="0"/>
                      <w:sz w:val="18"/>
                      <w:szCs w:val="18"/>
                    </w:rPr>
                  </w:pPr>
                  <w:r>
                    <w:rPr>
                      <w:rFonts w:hint="eastAsia" w:ascii="宋体" w:hAnsi="宋体" w:eastAsia="宋体" w:cs="宋体"/>
                      <w:kern w:val="0"/>
                      <w:sz w:val="18"/>
                      <w:szCs w:val="18"/>
                    </w:rPr>
                    <w:t>深入实施工业窑炉综合整治。坚持“突出重点、分类施策”推动工业窑炉深度治理，对启动超低排放改造以外的重点涉工业炉窑行业，通过工艺治理提标以及清洁低碳能源、工厂余热、热力替代等方式，实现有组织排放全面达标、无组织排放有效管控、全过程精细化监管。</w:t>
                  </w:r>
                </w:p>
              </w:tc>
              <w:tc>
                <w:tcPr>
                  <w:tcW w:w="555" w:type="pct"/>
                  <w:vAlign w:val="center"/>
                </w:tcPr>
                <w:p>
                  <w:pPr>
                    <w:spacing w:line="360" w:lineRule="auto"/>
                    <w:jc w:val="center"/>
                    <w:rPr>
                      <w:rFonts w:hint="eastAsia" w:ascii="宋体" w:hAnsi="宋体" w:eastAsia="宋体" w:cs="宋体"/>
                      <w:b/>
                      <w:sz w:val="18"/>
                      <w:szCs w:val="18"/>
                    </w:rPr>
                  </w:pPr>
                  <w:r>
                    <w:rPr>
                      <w:rFonts w:hint="eastAsia" w:ascii="宋体" w:hAnsi="宋体" w:eastAsia="宋体" w:cs="宋体"/>
                      <w:sz w:val="18"/>
                      <w:szCs w:val="18"/>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8" w:type="pct"/>
                  <w:vAlign w:val="center"/>
                </w:tcPr>
                <w:p>
                  <w:pPr>
                    <w:autoSpaceDE w:val="0"/>
                    <w:autoSpaceDN w:val="0"/>
                    <w:adjustRightInd w:val="0"/>
                    <w:jc w:val="left"/>
                    <w:rPr>
                      <w:rFonts w:hint="eastAsia" w:ascii="宋体" w:hAnsi="宋体" w:eastAsia="宋体" w:cs="宋体"/>
                      <w:kern w:val="0"/>
                      <w:sz w:val="18"/>
                      <w:szCs w:val="18"/>
                    </w:rPr>
                  </w:pPr>
                  <w:r>
                    <w:rPr>
                      <w:rFonts w:hint="eastAsia" w:ascii="宋体" w:hAnsi="宋体" w:eastAsia="宋体" w:cs="宋体"/>
                      <w:kern w:val="0"/>
                      <w:sz w:val="18"/>
                      <w:szCs w:val="18"/>
                    </w:rPr>
                    <w:t>加大挥发性有机污染物治理</w:t>
                  </w:r>
                </w:p>
              </w:tc>
              <w:tc>
                <w:tcPr>
                  <w:tcW w:w="3646" w:type="pct"/>
                  <w:vAlign w:val="center"/>
                </w:tcPr>
                <w:p>
                  <w:pPr>
                    <w:autoSpaceDE w:val="0"/>
                    <w:autoSpaceDN w:val="0"/>
                    <w:adjustRightInd w:val="0"/>
                    <w:jc w:val="left"/>
                    <w:rPr>
                      <w:rFonts w:hint="eastAsia" w:ascii="宋体" w:hAnsi="宋体" w:eastAsia="宋体" w:cs="宋体"/>
                      <w:kern w:val="0"/>
                      <w:sz w:val="18"/>
                      <w:szCs w:val="18"/>
                    </w:rPr>
                  </w:pPr>
                  <w:r>
                    <w:rPr>
                      <w:rFonts w:hint="eastAsia" w:ascii="宋体" w:hAnsi="宋体" w:eastAsia="宋体" w:cs="宋体"/>
                      <w:kern w:val="0"/>
                      <w:sz w:val="18"/>
                      <w:szCs w:val="18"/>
                    </w:rPr>
                    <w:t>加大源头替代力度。按照国家、省清洁原料替代要求，持续推进使用低VOCs含量的涂料、油墨、胶粘剂、清洗剂和其他低（无）VOCs含量、低反应活性的原辅材料，从源头减少VOCs产生。</w:t>
                  </w:r>
                </w:p>
                <w:p>
                  <w:pPr>
                    <w:autoSpaceDE w:val="0"/>
                    <w:autoSpaceDN w:val="0"/>
                    <w:adjustRightInd w:val="0"/>
                    <w:jc w:val="left"/>
                    <w:rPr>
                      <w:rFonts w:hint="eastAsia" w:ascii="宋体" w:hAnsi="宋体" w:eastAsia="宋体" w:cs="宋体"/>
                      <w:kern w:val="0"/>
                      <w:sz w:val="18"/>
                      <w:szCs w:val="18"/>
                    </w:rPr>
                  </w:pPr>
                  <w:r>
                    <w:rPr>
                      <w:rFonts w:hint="eastAsia" w:ascii="宋体" w:hAnsi="宋体" w:eastAsia="宋体" w:cs="宋体"/>
                      <w:kern w:val="0"/>
                      <w:sz w:val="18"/>
                      <w:szCs w:val="18"/>
                    </w:rPr>
                    <w:t>强化无组织排放控制。对企业含VOCs物料储存、转移和输送、设备与管线组件泄漏、敞开液面逸散以及工艺过程等五类排放源加强管理，有效削减VOCs无组织排放。按照“应收尽收、分质收集”的原则，优先采用密闭集气罩收集废气，提高废气收集率。加强非正常工况排放控制，规范化工装置开停工及维检修流程。指导企业制定VOCs无组织排放控制规程，定期开展泄漏检测与修复（LDAR）工作，及时修复泄漏源。</w:t>
                  </w:r>
                </w:p>
                <w:p>
                  <w:pPr>
                    <w:autoSpaceDE w:val="0"/>
                    <w:autoSpaceDN w:val="0"/>
                    <w:adjustRightInd w:val="0"/>
                    <w:jc w:val="left"/>
                    <w:rPr>
                      <w:rFonts w:hint="eastAsia" w:ascii="宋体" w:hAnsi="宋体" w:eastAsia="宋体" w:cs="宋体"/>
                      <w:kern w:val="0"/>
                      <w:sz w:val="18"/>
                      <w:szCs w:val="18"/>
                    </w:rPr>
                  </w:pPr>
                  <w:r>
                    <w:rPr>
                      <w:rFonts w:hint="eastAsia" w:ascii="宋体" w:hAnsi="宋体" w:eastAsia="宋体" w:cs="宋体"/>
                      <w:kern w:val="0"/>
                      <w:sz w:val="18"/>
                      <w:szCs w:val="18"/>
                    </w:rPr>
                    <w:t>深入实施精细化管控。实施基于活性的VOCs减排策略，系统摸排辖区内臭氧生成潜势较大的企业和生产工序，加大对工业涂装、有机化工、电子、石化、塑料橡胶制品及其他对臭氧生成贡献突出行业监管力度。深化园区和产业集聚区VOCs整治，逐步取消石化、化工、工业涂装、包装印刷等企业非必要废气排放系统旁路。推进工业园区和企业集群建设VOCs“绿岛”项目，实现VOCs集中高效处理，推进全市疑似储罐排查，加快推动治理。开展活性炭提质增效专项行动，提升企业活性炭治理效率。</w:t>
                  </w:r>
                </w:p>
              </w:tc>
              <w:tc>
                <w:tcPr>
                  <w:tcW w:w="555" w:type="pct"/>
                  <w:vAlign w:val="center"/>
                </w:tcPr>
                <w:p>
                  <w:pPr>
                    <w:spacing w:line="360" w:lineRule="auto"/>
                    <w:jc w:val="center"/>
                    <w:rPr>
                      <w:rFonts w:hint="eastAsia" w:ascii="宋体" w:hAnsi="宋体" w:eastAsia="宋体" w:cs="宋体"/>
                      <w:b/>
                      <w:sz w:val="18"/>
                      <w:szCs w:val="18"/>
                    </w:rPr>
                  </w:pPr>
                  <w:r>
                    <w:rPr>
                      <w:rFonts w:hint="eastAsia" w:ascii="宋体" w:hAnsi="宋体" w:eastAsia="宋体" w:cs="宋体"/>
                      <w:sz w:val="18"/>
                      <w:szCs w:val="18"/>
                    </w:rPr>
                    <w:t>相符</w:t>
                  </w:r>
                </w:p>
              </w:tc>
            </w:tr>
          </w:tbl>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由上表可知，本项目符合《太仓市“十四五”生态环境保护规划》相关要求。</w:t>
            </w:r>
          </w:p>
          <w:p>
            <w:pPr>
              <w:spacing w:line="360" w:lineRule="auto"/>
              <w:ind w:firstLine="422" w:firstLineChars="20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9、“长江经济带发展负面清单”相符性分析</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1）《长江经济带发展负面清单指南（试行，2022年版）》（长江办</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2022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7号）相符性分析根据《长江经济带发展负面清单指南（试行，2022年版）》：“8.禁止在长江干支流、重要湖泊岸线一公里范围内新建、扩建化工园区和化工项目。禁止在长江干流岸线三公里范围内和重要支流岸线一公里范围内新建、改建、扩建尾矿库、冶炼渣库和磷石膏库，以提升安全、生态环境保护水平为目的的改建除外。”</w:t>
            </w:r>
          </w:p>
          <w:p>
            <w:pPr>
              <w:autoSpaceDE w:val="0"/>
              <w:autoSpaceDN w:val="0"/>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项目不在长江干支流、重要湖泊岸线一公里范围内，不在长江干流岸线三公里范围内和重要支流岸线一公里范围内。本项目不属于《长江经济带发展负面清单指南（试行，2022年版）》中其他条目规定的禁止建设的项目。因此，本项目符合《长江经济带发展负面清单指南（试行，2022年版）》要求。</w:t>
            </w:r>
          </w:p>
          <w:p>
            <w:pPr>
              <w:autoSpaceDE w:val="0"/>
              <w:autoSpaceDN w:val="0"/>
              <w:adjustRightInd w:val="0"/>
              <w:snapToGrid w:val="0"/>
              <w:spacing w:line="360" w:lineRule="auto"/>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长江经济带发展负面清单指南</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江苏省实施细则（试行，2022版）》相符性分析对照《</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长江经济带发展负面清单指</w:t>
            </w:r>
            <w:r>
              <w:rPr>
                <w:rFonts w:hint="default" w:ascii="Times New Roman" w:hAnsi="Times New Roman" w:eastAsia="宋体" w:cs="Times New Roman"/>
                <w:color w:val="auto"/>
                <w:sz w:val="21"/>
                <w:szCs w:val="21"/>
              </w:rPr>
              <w:t>南</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江苏省实施细管控条款（试行）》，本项目不涉及自然保护区、国家级及省级风景名胜区核心景区、饮用水源保护区、国家级及省级水产种质资源保护区等范围，不属《长江经济带发展负面清单指南》江苏省实施细管控条款（试行）中河段利用与岸线开发中禁止建设项目。本项目不在长江干流和京杭大运河（南水北调东线江苏段）、新沟河等规定的15条河流1公里范围内；本项目非长江干流岸线3公里内的尾矿库项目；本项目非燃煤发电项目；本项目非化工项目；本项目不使用《危险化学品目录》中具有爆炸特性的化学品；本项目不属于《环境保护名录》中规定的高污染项目，不属于在非合格园区中建设的高污染项目。本项目不属于《长江经济带发展负面清单指南》江苏省实施细管控条款（试行）中关于产业发展的禁止建设项目。本项目未涉及国家级生态保护红线区域及生态空间管控区域。</w:t>
            </w:r>
          </w:p>
          <w:p>
            <w:pPr>
              <w:autoSpaceDE w:val="0"/>
              <w:autoSpaceDN w:val="0"/>
              <w:adjustRightInd w:val="0"/>
              <w:spacing w:line="360" w:lineRule="auto"/>
              <w:ind w:firstLine="420" w:firstLineChars="200"/>
              <w:jc w:val="left"/>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因此，本项目与《长江经济带发展负面清单指南》江苏省实施细则管控条款（试行）相符合。</w:t>
            </w:r>
          </w:p>
          <w:p>
            <w:pPr>
              <w:pStyle w:val="14"/>
              <w:spacing w:line="360" w:lineRule="auto"/>
              <w:ind w:firstLine="422" w:firstLineChars="200"/>
              <w:rPr>
                <w:rFonts w:hint="default" w:ascii="Times New Roman" w:hAnsi="Times New Roman" w:eastAsia="宋体" w:cs="Times New Roman"/>
                <w:b/>
                <w:kern w:val="2"/>
                <w:sz w:val="21"/>
                <w:szCs w:val="21"/>
                <w:highlight w:val="none"/>
              </w:rPr>
            </w:pPr>
            <w:r>
              <w:rPr>
                <w:rFonts w:hint="default" w:ascii="Times New Roman" w:hAnsi="Times New Roman" w:eastAsia="宋体" w:cs="Times New Roman"/>
                <w:b/>
                <w:kern w:val="2"/>
                <w:sz w:val="21"/>
                <w:szCs w:val="21"/>
                <w:highlight w:val="none"/>
              </w:rPr>
              <w:t>1</w:t>
            </w:r>
            <w:r>
              <w:rPr>
                <w:rFonts w:hint="eastAsia" w:ascii="Times New Roman" w:hAnsi="Times New Roman" w:eastAsia="宋体" w:cs="Times New Roman"/>
                <w:b/>
                <w:kern w:val="2"/>
                <w:sz w:val="21"/>
                <w:szCs w:val="21"/>
                <w:highlight w:val="none"/>
                <w:lang w:val="en-US" w:eastAsia="zh-CN"/>
              </w:rPr>
              <w:t>0</w:t>
            </w:r>
            <w:r>
              <w:rPr>
                <w:rFonts w:hint="default" w:ascii="Times New Roman" w:hAnsi="Times New Roman" w:eastAsia="宋体" w:cs="Times New Roman"/>
                <w:b/>
                <w:kern w:val="2"/>
                <w:sz w:val="21"/>
                <w:szCs w:val="21"/>
                <w:highlight w:val="none"/>
              </w:rPr>
              <w:t>、《关于加强高耗能、高排放建设项目生态环境源头防控的指导意见》（环环评[2021]45号）相符性分析</w:t>
            </w:r>
          </w:p>
          <w:p>
            <w:pPr>
              <w:autoSpaceDE w:val="0"/>
              <w:autoSpaceDN w:val="0"/>
              <w:adjustRightInd w:val="0"/>
              <w:snapToGrid w:val="0"/>
              <w:spacing w:line="360" w:lineRule="auto"/>
              <w:ind w:firstLine="420" w:firstLineChars="200"/>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严把建设项目环境准入关。新建、改建、扩建“两高”项目须符合生态环境保护法律法规和相关法定规划，满足重点污染物排放总量控制、碳排放达峰目标、生态环境准入清单、相关规划环评和相应行业建设项目环境准入条件、环评文件审批原则要求。石化、现代煤化工项目应纳入国家产业规划。新建、扩建石化、化工、焦化、有色金属冶炼、平板玻璃项目应布设在依法合规设立并经规划环评的产业园区。各级生态环境部门和行政审批部门要严格把关，对于不符合相关法律法规的，依法不予审批。本项目为宠物医院服务，不属于上述“两高”项目，后续国家如有明确规定的，从其规定。</w:t>
            </w:r>
          </w:p>
          <w:p>
            <w:pPr>
              <w:pStyle w:val="14"/>
              <w:numPr>
                <w:ilvl w:val="0"/>
                <w:numId w:val="0"/>
              </w:numPr>
              <w:spacing w:line="360" w:lineRule="auto"/>
              <w:ind w:firstLine="422" w:firstLineChars="200"/>
              <w:rPr>
                <w:rFonts w:hint="default" w:ascii="Times New Roman" w:hAnsi="Times New Roman" w:eastAsia="宋体" w:cs="Times New Roman"/>
                <w:b/>
                <w:kern w:val="2"/>
                <w:sz w:val="21"/>
                <w:szCs w:val="21"/>
                <w:highlight w:val="none"/>
              </w:rPr>
            </w:pPr>
            <w:r>
              <w:rPr>
                <w:rFonts w:hint="eastAsia" w:ascii="Times New Roman" w:hAnsi="Times New Roman" w:eastAsia="宋体" w:cs="Times New Roman"/>
                <w:b/>
                <w:kern w:val="2"/>
                <w:sz w:val="21"/>
                <w:szCs w:val="21"/>
                <w:highlight w:val="none"/>
                <w:lang w:val="en-US" w:eastAsia="zh-CN"/>
              </w:rPr>
              <w:t>11、</w:t>
            </w:r>
            <w:r>
              <w:rPr>
                <w:rFonts w:hint="default" w:ascii="Times New Roman" w:hAnsi="Times New Roman" w:eastAsia="宋体" w:cs="Times New Roman"/>
                <w:b/>
                <w:kern w:val="2"/>
                <w:sz w:val="21"/>
                <w:szCs w:val="21"/>
                <w:highlight w:val="none"/>
              </w:rPr>
              <w:t>与《中华人民共和国动物防疫法》（中华人民共和国主席令 第六十九号，2021年1月22日修订）相关规定相符性分析</w:t>
            </w:r>
          </w:p>
          <w:p>
            <w:pPr>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表1-</w:t>
            </w:r>
            <w:r>
              <w:rPr>
                <w:rFonts w:hint="default" w:ascii="Times New Roman" w:hAnsi="Times New Roman" w:eastAsia="宋体" w:cs="Times New Roman"/>
                <w:b/>
                <w:bCs/>
                <w:color w:val="auto"/>
                <w:sz w:val="21"/>
                <w:szCs w:val="21"/>
                <w:lang w:val="en-US" w:eastAsia="zh-CN"/>
              </w:rPr>
              <w:t>9</w:t>
            </w:r>
            <w:r>
              <w:rPr>
                <w:rFonts w:hint="default" w:ascii="Times New Roman" w:hAnsi="Times New Roman" w:eastAsia="宋体" w:cs="Times New Roman"/>
                <w:b/>
                <w:bCs/>
                <w:color w:val="auto"/>
                <w:sz w:val="21"/>
                <w:szCs w:val="21"/>
              </w:rPr>
              <w:t>本项目与《中华人民共和国动物防疫法》相符性分析</w:t>
            </w:r>
          </w:p>
          <w:tbl>
            <w:tblPr>
              <w:tblStyle w:val="37"/>
              <w:tblW w:w="9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5520"/>
              <w:gridCol w:w="3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b/>
                      <w:bCs/>
                      <w:color w:val="auto"/>
                      <w:sz w:val="18"/>
                      <w:szCs w:val="18"/>
                      <w:vertAlign w:val="baseline"/>
                      <w:lang w:val="en-US" w:eastAsia="zh-CN"/>
                    </w:rPr>
                    <w:t>序号</w:t>
                  </w:r>
                </w:p>
              </w:tc>
              <w:tc>
                <w:tcPr>
                  <w:tcW w:w="5520"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b/>
                      <w:bCs/>
                      <w:color w:val="auto"/>
                      <w:sz w:val="18"/>
                      <w:szCs w:val="18"/>
                      <w:vertAlign w:val="baseline"/>
                      <w:lang w:val="en-US" w:eastAsia="zh-CN"/>
                    </w:rPr>
                    <w:t>要求</w:t>
                  </w:r>
                </w:p>
              </w:tc>
              <w:tc>
                <w:tcPr>
                  <w:tcW w:w="3056"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b/>
                      <w:bCs/>
                      <w:color w:val="auto"/>
                      <w:sz w:val="18"/>
                      <w:szCs w:val="18"/>
                      <w:vertAlign w:val="baseline"/>
                      <w:lang w:val="en-US" w:eastAsia="zh-CN"/>
                    </w:rPr>
                    <w:t>相符性分析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b/>
                      <w:bCs/>
                      <w:color w:val="auto"/>
                      <w:sz w:val="18"/>
                      <w:szCs w:val="18"/>
                      <w:vertAlign w:val="baseline"/>
                      <w:lang w:val="en-US" w:eastAsia="zh-CN"/>
                    </w:rPr>
                    <w:t>1</w:t>
                  </w:r>
                </w:p>
              </w:tc>
              <w:tc>
                <w:tcPr>
                  <w:tcW w:w="5520"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sz w:val="18"/>
                      <w:szCs w:val="18"/>
                      <w:lang w:val="en-US" w:eastAsia="zh-CN"/>
                    </w:rPr>
                    <w:t>有</w:t>
                  </w:r>
                  <w:r>
                    <w:rPr>
                      <w:rFonts w:hint="default" w:ascii="Times New Roman" w:hAnsi="Times New Roman" w:eastAsia="宋体" w:cs="Times New Roman"/>
                      <w:sz w:val="18"/>
                      <w:szCs w:val="18"/>
                    </w:rPr>
                    <w:t>与动物诊疗活动相适应并符合动物防疫条件的场 所</w:t>
                  </w:r>
                </w:p>
              </w:tc>
              <w:tc>
                <w:tcPr>
                  <w:tcW w:w="3056"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本</w:t>
                  </w:r>
                  <w:r>
                    <w:rPr>
                      <w:rFonts w:hint="default" w:ascii="Times New Roman" w:hAnsi="Times New Roman" w:eastAsia="宋体" w:cs="Times New Roman"/>
                      <w:sz w:val="18"/>
                      <w:szCs w:val="18"/>
                    </w:rPr>
                    <w:t>项目设置了隔离室，符合动物防疫条件的场所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b/>
                      <w:bCs/>
                      <w:color w:val="auto"/>
                      <w:sz w:val="18"/>
                      <w:szCs w:val="18"/>
                      <w:vertAlign w:val="baseline"/>
                      <w:lang w:val="en-US" w:eastAsia="zh-CN"/>
                    </w:rPr>
                    <w:t>2</w:t>
                  </w:r>
                </w:p>
              </w:tc>
              <w:tc>
                <w:tcPr>
                  <w:tcW w:w="5520"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sz w:val="18"/>
                      <w:szCs w:val="18"/>
                    </w:rPr>
                    <w:t>有与动物诊疗活动相适应的执业兽医</w:t>
                  </w:r>
                </w:p>
              </w:tc>
              <w:tc>
                <w:tcPr>
                  <w:tcW w:w="3056"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本</w:t>
                  </w:r>
                  <w:r>
                    <w:rPr>
                      <w:rFonts w:hint="default" w:ascii="Times New Roman" w:hAnsi="Times New Roman" w:eastAsia="宋体" w:cs="Times New Roman"/>
                      <w:sz w:val="18"/>
                      <w:szCs w:val="18"/>
                    </w:rPr>
                    <w:t>项目具有取得执业兽医资格证书的人员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b/>
                      <w:bCs/>
                      <w:color w:val="auto"/>
                      <w:sz w:val="18"/>
                      <w:szCs w:val="18"/>
                      <w:vertAlign w:val="baseline"/>
                      <w:lang w:val="en-US" w:eastAsia="zh-CN"/>
                    </w:rPr>
                    <w:t>3</w:t>
                  </w:r>
                </w:p>
              </w:tc>
              <w:tc>
                <w:tcPr>
                  <w:tcW w:w="5520"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sz w:val="18"/>
                      <w:szCs w:val="18"/>
                      <w:lang w:val="en-US" w:eastAsia="zh-CN"/>
                    </w:rPr>
                    <w:t>有</w:t>
                  </w:r>
                  <w:r>
                    <w:rPr>
                      <w:rFonts w:hint="default" w:ascii="Times New Roman" w:hAnsi="Times New Roman" w:eastAsia="宋体" w:cs="Times New Roman"/>
                      <w:sz w:val="18"/>
                      <w:szCs w:val="18"/>
                    </w:rPr>
                    <w:t>与动物诊疗活动相适应的兽医器械和设备</w:t>
                  </w:r>
                </w:p>
              </w:tc>
              <w:tc>
                <w:tcPr>
                  <w:tcW w:w="3056"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本项目具有与动物诊疗活动相适应的</w:t>
                  </w:r>
                  <w:r>
                    <w:rPr>
                      <w:rFonts w:hint="default" w:ascii="Times New Roman" w:hAnsi="Times New Roman" w:eastAsia="宋体" w:cs="Times New Roman"/>
                      <w:sz w:val="18"/>
                      <w:szCs w:val="18"/>
                    </w:rPr>
                    <w:t>兽医器械和设备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b/>
                      <w:bCs/>
                      <w:color w:val="auto"/>
                      <w:sz w:val="18"/>
                      <w:szCs w:val="18"/>
                      <w:vertAlign w:val="baseline"/>
                      <w:lang w:val="en-US" w:eastAsia="zh-CN"/>
                    </w:rPr>
                    <w:t>4</w:t>
                  </w:r>
                </w:p>
              </w:tc>
              <w:tc>
                <w:tcPr>
                  <w:tcW w:w="5520"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sz w:val="18"/>
                      <w:szCs w:val="18"/>
                    </w:rPr>
                    <w:t>有完善的管理制度</w:t>
                  </w:r>
                </w:p>
              </w:tc>
              <w:tc>
                <w:tcPr>
                  <w:tcW w:w="3056"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本</w:t>
                  </w:r>
                  <w:r>
                    <w:rPr>
                      <w:rFonts w:hint="default" w:ascii="Times New Roman" w:hAnsi="Times New Roman" w:eastAsia="宋体" w:cs="Times New Roman"/>
                      <w:sz w:val="18"/>
                      <w:szCs w:val="18"/>
                    </w:rPr>
                    <w:t>项目具有完善的诊疗服务、疫情报告、卫生消毒、兽药处方、药物和无害化处理等管理制度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b/>
                      <w:bCs/>
                      <w:color w:val="auto"/>
                      <w:sz w:val="18"/>
                      <w:szCs w:val="18"/>
                      <w:vertAlign w:val="baseline"/>
                      <w:lang w:val="en-US" w:eastAsia="zh-CN"/>
                    </w:rPr>
                    <w:t>5</w:t>
                  </w:r>
                </w:p>
              </w:tc>
              <w:tc>
                <w:tcPr>
                  <w:tcW w:w="5520"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sz w:val="18"/>
                      <w:szCs w:val="18"/>
                      <w:lang w:val="en-US" w:eastAsia="zh-CN"/>
                    </w:rPr>
                    <w:t>从</w:t>
                  </w:r>
                  <w:r>
                    <w:rPr>
                      <w:rFonts w:hint="default" w:ascii="Times New Roman" w:hAnsi="Times New Roman" w:eastAsia="宋体" w:cs="Times New Roman"/>
                      <w:sz w:val="18"/>
                      <w:szCs w:val="18"/>
                    </w:rPr>
                    <w:t>事动物诊疗活动的机构，应当 向县级以上地方人民政府农业农村主管部门申请动物诊疗许 可证。受理申请的农业农村主管部门应当依照本法和《中华人民共和国行政许可法》的规定进行审查。经审查合格的，发给动物诊疗许可证；不合格的，应当通知申请人并说明理由</w:t>
                  </w:r>
                </w:p>
              </w:tc>
              <w:tc>
                <w:tcPr>
                  <w:tcW w:w="3056"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sz w:val="18"/>
                      <w:szCs w:val="18"/>
                      <w:lang w:val="en-US" w:eastAsia="zh-CN"/>
                    </w:rPr>
                    <w:t>本</w:t>
                  </w:r>
                  <w:r>
                    <w:rPr>
                      <w:rFonts w:hint="default" w:ascii="Times New Roman" w:hAnsi="Times New Roman" w:eastAsia="宋体" w:cs="Times New Roman"/>
                      <w:sz w:val="18"/>
                      <w:szCs w:val="18"/>
                    </w:rPr>
                    <w:t>项目拟完善环评手续后立即办理动物诊疗许可证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b/>
                      <w:bCs/>
                      <w:color w:val="auto"/>
                      <w:sz w:val="18"/>
                      <w:szCs w:val="18"/>
                      <w:vertAlign w:val="baseline"/>
                      <w:lang w:val="en-US" w:eastAsia="zh-CN"/>
                    </w:rPr>
                    <w:t>6</w:t>
                  </w:r>
                </w:p>
              </w:tc>
              <w:tc>
                <w:tcPr>
                  <w:tcW w:w="5520"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sz w:val="18"/>
                      <w:szCs w:val="18"/>
                    </w:rPr>
                    <w:t>动物诊疗机构应当按照国务院 农业农村主管部门的规定，做好诊疗活动中的卫生安全防护、消毒、隔离和诊疗废弃物处置等工作</w:t>
                  </w:r>
                </w:p>
              </w:tc>
              <w:tc>
                <w:tcPr>
                  <w:tcW w:w="3056" w:type="dxa"/>
                  <w:vAlign w:val="center"/>
                </w:tcPr>
                <w:p>
                  <w:pPr>
                    <w:jc w:val="center"/>
                    <w:rPr>
                      <w:rFonts w:hint="default" w:ascii="Times New Roman" w:hAnsi="Times New Roman" w:eastAsia="宋体" w:cs="Times New Roman"/>
                      <w:b/>
                      <w:bCs/>
                      <w:color w:val="auto"/>
                      <w:sz w:val="18"/>
                      <w:szCs w:val="18"/>
                      <w:vertAlign w:val="baseline"/>
                      <w:lang w:val="en-US" w:eastAsia="zh-CN"/>
                    </w:rPr>
                  </w:pPr>
                  <w:r>
                    <w:rPr>
                      <w:rFonts w:hint="default" w:ascii="Times New Roman" w:hAnsi="Times New Roman" w:eastAsia="宋体" w:cs="Times New Roman"/>
                      <w:sz w:val="18"/>
                      <w:szCs w:val="18"/>
                      <w:lang w:val="en-US" w:eastAsia="zh-CN"/>
                    </w:rPr>
                    <w:t>本</w:t>
                  </w:r>
                  <w:r>
                    <w:rPr>
                      <w:rFonts w:hint="default" w:ascii="Times New Roman" w:hAnsi="Times New Roman" w:eastAsia="宋体" w:cs="Times New Roman"/>
                      <w:sz w:val="18"/>
                      <w:szCs w:val="18"/>
                    </w:rPr>
                    <w:t>项目在诊疗活动中做好卫生安全防护、消毒、隔离和诊疗废弃物处置工作</w:t>
                  </w:r>
                </w:p>
              </w:tc>
            </w:tr>
          </w:tbl>
          <w:p>
            <w:pPr>
              <w:jc w:val="center"/>
              <w:rPr>
                <w:rFonts w:hint="default" w:ascii="宋体" w:hAnsi="宋体"/>
                <w:b/>
                <w:bCs/>
                <w:color w:val="auto"/>
                <w:szCs w:val="21"/>
                <w:lang w:val="en-US" w:eastAsia="zh-CN"/>
              </w:rPr>
            </w:pPr>
          </w:p>
          <w:p>
            <w:pPr>
              <w:numPr>
                <w:ilvl w:val="0"/>
                <w:numId w:val="0"/>
              </w:numPr>
              <w:autoSpaceDE w:val="0"/>
              <w:autoSpaceDN w:val="0"/>
              <w:adjustRightInd w:val="0"/>
              <w:snapToGrid w:val="0"/>
              <w:spacing w:line="360" w:lineRule="auto"/>
              <w:ind w:left="0" w:leftChars="0" w:firstLine="422" w:firstLineChars="200"/>
              <w:jc w:val="left"/>
              <w:rPr>
                <w:rFonts w:hint="default" w:ascii="Times New Roman" w:hAnsi="Times New Roman" w:eastAsia="宋体" w:cs="Times New Roman"/>
                <w:b/>
                <w:kern w:val="2"/>
                <w:sz w:val="21"/>
                <w:szCs w:val="21"/>
                <w:highlight w:val="none"/>
                <w:lang w:val="en-US" w:eastAsia="zh-CN" w:bidi="ar-SA"/>
              </w:rPr>
            </w:pPr>
            <w:r>
              <w:rPr>
                <w:rFonts w:hint="default" w:ascii="Times New Roman" w:hAnsi="Times New Roman" w:eastAsia="宋体" w:cs="Times New Roman"/>
                <w:b/>
                <w:kern w:val="2"/>
                <w:sz w:val="21"/>
                <w:szCs w:val="21"/>
                <w:lang w:val="en-US" w:eastAsia="zh-CN" w:bidi="ar-SA"/>
              </w:rPr>
              <w:t>1</w:t>
            </w:r>
            <w:r>
              <w:rPr>
                <w:rFonts w:hint="eastAsia" w:ascii="Times New Roman" w:hAnsi="Times New Roman" w:eastAsia="宋体" w:cs="Times New Roman"/>
                <w:b/>
                <w:kern w:val="2"/>
                <w:sz w:val="21"/>
                <w:szCs w:val="21"/>
                <w:lang w:val="en-US" w:eastAsia="zh-CN" w:bidi="ar-SA"/>
              </w:rPr>
              <w:t>2</w:t>
            </w:r>
            <w:r>
              <w:rPr>
                <w:rFonts w:hint="default" w:ascii="Times New Roman" w:hAnsi="Times New Roman" w:eastAsia="宋体" w:cs="Times New Roman"/>
                <w:b/>
                <w:kern w:val="2"/>
                <w:sz w:val="21"/>
                <w:szCs w:val="21"/>
                <w:lang w:val="en-US" w:eastAsia="zh-CN" w:bidi="ar-SA"/>
              </w:rPr>
              <w:t>、</w:t>
            </w:r>
            <w:r>
              <w:rPr>
                <w:rFonts w:hint="default" w:ascii="Times New Roman" w:hAnsi="Times New Roman" w:eastAsia="宋体" w:cs="Times New Roman"/>
                <w:b/>
                <w:kern w:val="2"/>
                <w:sz w:val="21"/>
                <w:szCs w:val="21"/>
                <w:highlight w:val="none"/>
                <w:lang w:val="en-US" w:eastAsia="zh-CN" w:bidi="ar-SA"/>
              </w:rPr>
              <w:t>与《动物诊疗机构管理办法》（中华人民共和国农业部令第19号）相关规定相符性分析</w:t>
            </w:r>
          </w:p>
          <w:p>
            <w:pPr>
              <w:numPr>
                <w:ilvl w:val="0"/>
                <w:numId w:val="0"/>
              </w:numPr>
              <w:autoSpaceDE w:val="0"/>
              <w:autoSpaceDN w:val="0"/>
              <w:adjustRightInd w:val="0"/>
              <w:snapToGrid w:val="0"/>
              <w:spacing w:line="360" w:lineRule="auto"/>
              <w:ind w:firstLine="420" w:firstLineChars="200"/>
              <w:jc w:val="left"/>
              <w:rPr>
                <w:rFonts w:hint="default" w:ascii="Times New Roman" w:hAnsi="Times New Roman" w:eastAsia="宋体" w:cs="Times New Roman"/>
                <w:b/>
                <w:kern w:val="2"/>
                <w:sz w:val="21"/>
                <w:szCs w:val="21"/>
                <w:highlight w:val="none"/>
                <w:lang w:val="en-US" w:eastAsia="zh-CN" w:bidi="ar-SA"/>
              </w:rPr>
            </w:pPr>
            <w:r>
              <w:rPr>
                <w:rFonts w:hint="default" w:ascii="Times New Roman" w:hAnsi="Times New Roman" w:eastAsia="宋体" w:cs="Times New Roman"/>
                <w:sz w:val="21"/>
                <w:szCs w:val="21"/>
              </w:rPr>
              <w:t>根据《动物诊疗机构管理办法》（中华人民共和国农业部令第 19号）中相关规定，申请设立动物诊疗机构的，应当具备下列条件：</w:t>
            </w:r>
          </w:p>
          <w:p>
            <w:pPr>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表</w:t>
            </w:r>
            <w:r>
              <w:rPr>
                <w:rFonts w:hint="default" w:ascii="Times New Roman" w:hAnsi="Times New Roman" w:eastAsia="宋体" w:cs="Times New Roman"/>
                <w:b/>
                <w:bCs/>
                <w:color w:val="auto"/>
                <w:sz w:val="21"/>
                <w:szCs w:val="21"/>
              </w:rPr>
              <w:t>1-</w:t>
            </w:r>
            <w:r>
              <w:rPr>
                <w:rFonts w:hint="default" w:ascii="Times New Roman" w:hAnsi="Times New Roman" w:eastAsia="宋体" w:cs="Times New Roman"/>
                <w:b/>
                <w:bCs/>
                <w:color w:val="auto"/>
                <w:sz w:val="21"/>
                <w:szCs w:val="21"/>
                <w:lang w:val="en-US" w:eastAsia="zh-CN"/>
              </w:rPr>
              <w:t>10</w:t>
            </w:r>
            <w:r>
              <w:rPr>
                <w:rFonts w:hint="default" w:ascii="Times New Roman" w:hAnsi="Times New Roman" w:eastAsia="宋体" w:cs="Times New Roman"/>
                <w:b/>
                <w:bCs/>
                <w:color w:val="auto"/>
                <w:sz w:val="21"/>
                <w:szCs w:val="21"/>
              </w:rPr>
              <w:t>与本项目与《动物诊疗机构管理办法》相符性分析</w:t>
            </w:r>
          </w:p>
          <w:tbl>
            <w:tblPr>
              <w:tblStyle w:val="37"/>
              <w:tblW w:w="9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5263"/>
              <w:gridCol w:w="3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pPr>
                    <w:jc w:val="center"/>
                    <w:rPr>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lang w:val="en-US" w:eastAsia="zh-CN"/>
                    </w:rPr>
                    <w:t>序号</w:t>
                  </w:r>
                </w:p>
              </w:tc>
              <w:tc>
                <w:tcPr>
                  <w:tcW w:w="5263" w:type="dxa"/>
                  <w:vAlign w:val="center"/>
                </w:tcPr>
                <w:p>
                  <w:pPr>
                    <w:jc w:val="center"/>
                    <w:rPr>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lang w:val="en-US" w:eastAsia="zh-CN"/>
                    </w:rPr>
                    <w:t>相关要求</w:t>
                  </w:r>
                </w:p>
              </w:tc>
              <w:tc>
                <w:tcPr>
                  <w:tcW w:w="3056" w:type="dxa"/>
                  <w:vAlign w:val="center"/>
                </w:tcPr>
                <w:p>
                  <w:pPr>
                    <w:jc w:val="center"/>
                    <w:rPr>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lang w:val="en-US" w:eastAsia="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5263"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项</w:t>
                  </w:r>
                  <w:r>
                    <w:rPr>
                      <w:rFonts w:hint="default" w:ascii="Times New Roman" w:hAnsi="Times New Roman" w:eastAsia="宋体" w:cs="Times New Roman"/>
                      <w:sz w:val="18"/>
                      <w:szCs w:val="18"/>
                    </w:rPr>
                    <w:t>目周围200m内无畜禽养殖场、屠宰加工场、动物交易场所</w:t>
                  </w:r>
                </w:p>
              </w:tc>
              <w:tc>
                <w:tcPr>
                  <w:tcW w:w="3056"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项目周边无上述场所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5263"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项目设有独立的出入口，出入口未设在居民住宅楼内或者院内，不与同一建筑物的其他用户共用通道</w:t>
                  </w:r>
                </w:p>
              </w:tc>
              <w:tc>
                <w:tcPr>
                  <w:tcW w:w="3056"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项目租赁房屋的设有独立出入口且面向街道，不在住宅楼内或者院内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5263"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项目具有布局合理的诊疗室、手术 室、药房等设施</w:t>
                  </w:r>
                </w:p>
              </w:tc>
              <w:tc>
                <w:tcPr>
                  <w:tcW w:w="3056"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项目具有布局合理的诊疗 室、手术室、药房等设施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5263"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项目具有诊断、手术、消毒、冷藏、常规化验、污水处理等器械设备</w:t>
                  </w:r>
                </w:p>
              </w:tc>
              <w:tc>
                <w:tcPr>
                  <w:tcW w:w="3056"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项目具备相关设备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5263"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项目具有l名以上取得执业兽医师资格证书的人员</w:t>
                  </w:r>
                </w:p>
              </w:tc>
              <w:tc>
                <w:tcPr>
                  <w:tcW w:w="3056"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项目具有取得执业兽医师资格证书的人员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6</w:t>
                  </w:r>
                </w:p>
              </w:tc>
              <w:tc>
                <w:tcPr>
                  <w:tcW w:w="5263"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项目具有完善的诊疗服务、疫情报告、卫生消毒、兽药处方、药物和无害化处理等完善的管理制度</w:t>
                  </w:r>
                </w:p>
              </w:tc>
              <w:tc>
                <w:tcPr>
                  <w:tcW w:w="3056"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项目已制定相关制度</w:t>
                  </w:r>
                </w:p>
              </w:tc>
            </w:tr>
          </w:tbl>
          <w:p>
            <w:pPr>
              <w:numPr>
                <w:ilvl w:val="0"/>
                <w:numId w:val="0"/>
              </w:numPr>
              <w:autoSpaceDE w:val="0"/>
              <w:autoSpaceDN w:val="0"/>
              <w:adjustRightInd w:val="0"/>
              <w:snapToGrid w:val="0"/>
              <w:spacing w:line="360" w:lineRule="auto"/>
              <w:ind w:firstLine="422" w:firstLineChars="200"/>
              <w:jc w:val="left"/>
              <w:rPr>
                <w:rFonts w:hint="default" w:ascii="Times New Roman" w:hAnsi="Times New Roman" w:eastAsia="宋体" w:cs="Times New Roman"/>
                <w:b/>
                <w:kern w:val="2"/>
                <w:sz w:val="21"/>
                <w:szCs w:val="21"/>
                <w:highlight w:val="none"/>
                <w:lang w:val="en-US" w:eastAsia="zh-CN" w:bidi="ar-SA"/>
              </w:rPr>
            </w:pPr>
            <w:r>
              <w:rPr>
                <w:rFonts w:hint="default" w:ascii="Times New Roman" w:hAnsi="Times New Roman" w:eastAsia="宋体" w:cs="Times New Roman"/>
                <w:b/>
                <w:kern w:val="2"/>
                <w:sz w:val="21"/>
                <w:szCs w:val="21"/>
                <w:lang w:val="en-US" w:eastAsia="zh-CN" w:bidi="ar-SA"/>
              </w:rPr>
              <w:t>1</w:t>
            </w:r>
            <w:r>
              <w:rPr>
                <w:rFonts w:hint="eastAsia" w:ascii="Times New Roman" w:hAnsi="Times New Roman" w:eastAsia="宋体" w:cs="Times New Roman"/>
                <w:b/>
                <w:kern w:val="2"/>
                <w:sz w:val="21"/>
                <w:szCs w:val="21"/>
                <w:lang w:val="en-US" w:eastAsia="zh-CN" w:bidi="ar-SA"/>
              </w:rPr>
              <w:t>3</w:t>
            </w:r>
            <w:r>
              <w:rPr>
                <w:rFonts w:hint="default" w:ascii="Times New Roman" w:hAnsi="Times New Roman" w:eastAsia="宋体" w:cs="Times New Roman"/>
                <w:b/>
                <w:kern w:val="2"/>
                <w:sz w:val="21"/>
                <w:szCs w:val="21"/>
                <w:lang w:val="en-US" w:eastAsia="zh-CN" w:bidi="ar-SA"/>
              </w:rPr>
              <w:t>、</w:t>
            </w:r>
            <w:r>
              <w:rPr>
                <w:rFonts w:hint="default" w:ascii="Times New Roman" w:hAnsi="Times New Roman" w:eastAsia="宋体" w:cs="Times New Roman"/>
                <w:b/>
                <w:kern w:val="2"/>
                <w:sz w:val="21"/>
                <w:szCs w:val="21"/>
                <w:highlight w:val="none"/>
                <w:lang w:val="en-US" w:eastAsia="zh-CN" w:bidi="ar-SA"/>
              </w:rPr>
              <w:t>与《江苏省动物诊疗管理暂行办法》和《江苏省宠物诊疗机构规范化建设标准（试行）》的通知（苏农办牧[2011]67 号）相符性分析</w:t>
            </w:r>
          </w:p>
          <w:p>
            <w:pPr>
              <w:numPr>
                <w:ilvl w:val="0"/>
                <w:numId w:val="0"/>
              </w:numPr>
              <w:autoSpaceDE w:val="0"/>
              <w:autoSpaceDN w:val="0"/>
              <w:adjustRightInd w:val="0"/>
              <w:snapToGrid w:val="0"/>
              <w:spacing w:line="360" w:lineRule="auto"/>
              <w:ind w:left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rPr>
              <w:t>根据《江苏省动物诊疗管理暂行办法》：</w:t>
            </w:r>
          </w:p>
          <w:p>
            <w:pPr>
              <w:numPr>
                <w:ilvl w:val="0"/>
                <w:numId w:val="3"/>
              </w:numPr>
              <w:autoSpaceDE w:val="0"/>
              <w:autoSpaceDN w:val="0"/>
              <w:adjustRightInd w:val="0"/>
              <w:snapToGrid w:val="0"/>
              <w:spacing w:line="360" w:lineRule="auto"/>
              <w:ind w:firstLine="420" w:firstLineChars="200"/>
              <w:jc w:val="left"/>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highlight w:val="none"/>
              </w:rPr>
              <w:t>有固定的与诊疗活动相适应的动物诊疗室和兽药房：农村开设动物诊疗机构应当有使用面积30平方米以上、城市开设宠物诊疗机构应当有使用面积60平方米以上，应距动物饲养、交易场所500米以上，并提供房屋产权证明或承租合同；城市宠物诊疗活动，还应提供居委会证明，不影响居民正常生活，居民楼内不得开设诊疗机构，并应当符合环保要求；（五）有保定、手术、消毒、冷藏、常规化验及无害化处理等动物诊疗设施。</w:t>
            </w:r>
          </w:p>
          <w:p>
            <w:pPr>
              <w:numPr>
                <w:ilvl w:val="0"/>
                <w:numId w:val="0"/>
              </w:numPr>
              <w:autoSpaceDE w:val="0"/>
              <w:autoSpaceDN w:val="0"/>
              <w:adjustRightInd w:val="0"/>
              <w:snapToGrid w:val="0"/>
              <w:spacing w:line="360" w:lineRule="auto"/>
              <w:ind w:firstLine="630" w:firstLineChars="300"/>
              <w:jc w:val="left"/>
              <w:rPr>
                <w:rFonts w:hint="default" w:ascii="Times New Roman" w:hAnsi="Times New Roman" w:eastAsia="宋体" w:cs="Times New Roman"/>
                <w:color w:val="auto"/>
                <w:sz w:val="21"/>
                <w:szCs w:val="21"/>
              </w:rPr>
            </w:pPr>
            <w:r>
              <w:rPr>
                <w:rFonts w:hint="default" w:ascii="Times New Roman" w:hAnsi="Times New Roman" w:eastAsia="宋体" w:cs="Times New Roman"/>
                <w:sz w:val="21"/>
                <w:szCs w:val="21"/>
                <w:highlight w:val="none"/>
              </w:rPr>
              <w:t>本项目位于</w:t>
            </w:r>
            <w:r>
              <w:rPr>
                <w:rFonts w:hint="default" w:ascii="Times New Roman" w:hAnsi="Times New Roman" w:eastAsia="宋体" w:cs="Times New Roman"/>
                <w:color w:val="auto"/>
                <w:sz w:val="21"/>
                <w:szCs w:val="21"/>
              </w:rPr>
              <w:t>太仓市</w:t>
            </w:r>
            <w:r>
              <w:rPr>
                <w:rFonts w:hint="default" w:ascii="Times New Roman" w:hAnsi="Times New Roman" w:eastAsia="宋体" w:cs="Times New Roman"/>
                <w:color w:val="auto"/>
                <w:sz w:val="21"/>
                <w:szCs w:val="21"/>
                <w:lang w:val="en-US" w:eastAsia="zh-CN"/>
              </w:rPr>
              <w:t>高新区</w:t>
            </w:r>
            <w:r>
              <w:rPr>
                <w:rFonts w:hint="default" w:ascii="Times New Roman" w:hAnsi="Times New Roman" w:eastAsia="宋体" w:cs="Times New Roman"/>
                <w:color w:val="auto"/>
                <w:sz w:val="21"/>
                <w:szCs w:val="21"/>
              </w:rPr>
              <w:t>郑和中路376号20幢商铺06室</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面积共</w:t>
            </w:r>
            <w:r>
              <w:rPr>
                <w:rFonts w:hint="default" w:ascii="Times New Roman" w:hAnsi="Times New Roman" w:eastAsia="宋体" w:cs="Times New Roman"/>
                <w:color w:val="auto"/>
                <w:sz w:val="21"/>
                <w:szCs w:val="21"/>
              </w:rPr>
              <w:t>517.26</w:t>
            </w: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vertAlign w:val="superscript"/>
                <w:lang w:val="en-US" w:eastAsia="zh-CN"/>
              </w:rPr>
              <w:t>2</w:t>
            </w:r>
            <w:r>
              <w:rPr>
                <w:rFonts w:hint="default" w:ascii="Times New Roman" w:hAnsi="Times New Roman" w:eastAsia="宋体" w:cs="Times New Roman"/>
                <w:color w:val="auto"/>
                <w:sz w:val="21"/>
                <w:szCs w:val="21"/>
                <w:vertAlign w:val="baseline"/>
                <w:lang w:val="en-US" w:eastAsia="zh-CN"/>
              </w:rPr>
              <w:t>，本项目设置</w:t>
            </w:r>
            <w:r>
              <w:rPr>
                <w:rFonts w:hint="default" w:ascii="Times New Roman" w:hAnsi="Times New Roman" w:eastAsia="宋体" w:cs="Times New Roman"/>
                <w:sz w:val="21"/>
                <w:szCs w:val="21"/>
                <w:lang w:val="en-US" w:eastAsia="zh-CN"/>
              </w:rPr>
              <w:t>猫狗诊室、手术室、X光室、B超房等，相对独立、标志清楚。</w:t>
            </w:r>
            <w:r>
              <w:rPr>
                <w:rFonts w:hint="default" w:ascii="Times New Roman" w:hAnsi="Times New Roman" w:eastAsia="宋体" w:cs="Times New Roman"/>
                <w:color w:val="auto"/>
                <w:sz w:val="21"/>
                <w:szCs w:val="21"/>
              </w:rPr>
              <w:t>本项目已配备冰箱、消毒器械等与宠物诊疗活动相配套的设施设备，同时还有监护仪等从事宠物胸腔、腹腔和颅腔手术的设施设备。</w:t>
            </w:r>
          </w:p>
          <w:p>
            <w:pPr>
              <w:numPr>
                <w:ilvl w:val="0"/>
                <w:numId w:val="0"/>
              </w:numPr>
              <w:autoSpaceDE w:val="0"/>
              <w:autoSpaceDN w:val="0"/>
              <w:adjustRightInd w:val="0"/>
              <w:snapToGrid w:val="0"/>
              <w:spacing w:line="360" w:lineRule="auto"/>
              <w:ind w:firstLine="420" w:firstLineChars="200"/>
              <w:jc w:val="left"/>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根据《江苏省宠物诊疗机构规范化建设标准（试行）》选址要求：</w:t>
            </w:r>
          </w:p>
          <w:p>
            <w:pPr>
              <w:numPr>
                <w:ilvl w:val="0"/>
                <w:numId w:val="4"/>
              </w:numPr>
              <w:autoSpaceDE w:val="0"/>
              <w:autoSpaceDN w:val="0"/>
              <w:adjustRightInd w:val="0"/>
              <w:snapToGrid w:val="0"/>
              <w:spacing w:line="360" w:lineRule="auto"/>
              <w:ind w:left="-510" w:leftChars="0" w:firstLine="720" w:firstLineChars="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宠物诊疗机构距离畜禽养殖场、屠宰加工场、动物交易市场等场所以及中小学校、幼儿园等场所不小于200米；</w:t>
            </w:r>
          </w:p>
          <w:p>
            <w:pPr>
              <w:numPr>
                <w:ilvl w:val="0"/>
                <w:numId w:val="4"/>
              </w:numPr>
              <w:autoSpaceDE w:val="0"/>
              <w:autoSpaceDN w:val="0"/>
              <w:adjustRightInd w:val="0"/>
              <w:snapToGrid w:val="0"/>
              <w:spacing w:line="360" w:lineRule="auto"/>
              <w:ind w:left="-510" w:leftChars="0" w:firstLine="720" w:firstLineChars="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设有独立的出入口，出入口不得设在居民住宅楼内或者院内，不得与同一建筑物 的其他用户共用通道。须提供社区居委会同意开设诊疗机构的证明。</w:t>
            </w:r>
          </w:p>
          <w:p>
            <w:pPr>
              <w:numPr>
                <w:ilvl w:val="0"/>
                <w:numId w:val="4"/>
              </w:numPr>
              <w:autoSpaceDE w:val="0"/>
              <w:autoSpaceDN w:val="0"/>
              <w:adjustRightInd w:val="0"/>
              <w:snapToGrid w:val="0"/>
              <w:spacing w:line="360" w:lineRule="auto"/>
              <w:ind w:left="-510" w:leftChars="0" w:firstLine="720" w:firstLineChars="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具有固定的诊疗场所，使用面积应与诊疗规模相适应，宠物诊所不少于60平方米，宠物医院不少于100平方米，应具有权属证明或租赁合同。</w:t>
            </w:r>
          </w:p>
          <w:p>
            <w:pPr>
              <w:numPr>
                <w:ilvl w:val="0"/>
                <w:numId w:val="4"/>
              </w:numPr>
              <w:autoSpaceDE w:val="0"/>
              <w:autoSpaceDN w:val="0"/>
              <w:adjustRightInd w:val="0"/>
              <w:snapToGrid w:val="0"/>
              <w:spacing w:line="360" w:lineRule="auto"/>
              <w:ind w:left="-510" w:leftChars="0" w:firstLine="720" w:firstLineChars="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宠物诊所应设置诊室、化验、手术、治疗、消毒、药房等功能室（区），宠物医院还应设置处置、隔离、住院等功能室及档案室（柜）等。</w:t>
            </w:r>
          </w:p>
          <w:p>
            <w:pPr>
              <w:numPr>
                <w:ilvl w:val="0"/>
                <w:numId w:val="4"/>
              </w:numPr>
              <w:autoSpaceDE w:val="0"/>
              <w:autoSpaceDN w:val="0"/>
              <w:adjustRightInd w:val="0"/>
              <w:snapToGrid w:val="0"/>
              <w:spacing w:line="360" w:lineRule="auto"/>
              <w:ind w:left="-510" w:leftChars="0" w:firstLine="720" w:firstLineChars="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各功能室（区）之间做到明显分开、相对独立、标志清楚，并与宠物美容等其他 经营服务场所进行物理隔离。</w:t>
            </w:r>
          </w:p>
          <w:p>
            <w:pPr>
              <w:numPr>
                <w:ilvl w:val="0"/>
                <w:numId w:val="0"/>
              </w:numPr>
              <w:autoSpaceDE w:val="0"/>
              <w:autoSpaceDN w:val="0"/>
              <w:adjustRightInd w:val="0"/>
              <w:snapToGrid w:val="0"/>
              <w:spacing w:line="360" w:lineRule="auto"/>
              <w:ind w:firstLine="420" w:firstLineChars="2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本项目选址周边200米范围内无畜禽养殖场、屠宰加工场、动物交易市场等场所。本 项目设有独立出入口，不在居民住宅楼内或者院内，未与同一建筑物的其他用户共用通道。本项目位于</w:t>
            </w:r>
            <w:r>
              <w:rPr>
                <w:rFonts w:hint="default" w:ascii="Times New Roman" w:hAnsi="Times New Roman" w:eastAsia="宋体" w:cs="Times New Roman"/>
                <w:color w:val="auto"/>
                <w:sz w:val="21"/>
                <w:szCs w:val="21"/>
              </w:rPr>
              <w:t>太仓市</w:t>
            </w:r>
            <w:r>
              <w:rPr>
                <w:rFonts w:hint="default" w:ascii="Times New Roman" w:hAnsi="Times New Roman" w:eastAsia="宋体" w:cs="Times New Roman"/>
                <w:color w:val="auto"/>
                <w:sz w:val="21"/>
                <w:szCs w:val="21"/>
                <w:lang w:val="en-US" w:eastAsia="zh-CN"/>
              </w:rPr>
              <w:t>高新区</w:t>
            </w:r>
            <w:r>
              <w:rPr>
                <w:rFonts w:hint="default" w:ascii="Times New Roman" w:hAnsi="Times New Roman" w:eastAsia="宋体" w:cs="Times New Roman"/>
                <w:color w:val="auto"/>
                <w:sz w:val="21"/>
                <w:szCs w:val="21"/>
              </w:rPr>
              <w:t>郑和中路376号20幢商铺06室</w:t>
            </w:r>
            <w:r>
              <w:rPr>
                <w:rFonts w:hint="default" w:ascii="Times New Roman" w:hAnsi="Times New Roman" w:eastAsia="宋体" w:cs="Times New Roman"/>
                <w:sz w:val="21"/>
                <w:szCs w:val="21"/>
                <w:lang w:val="en-US" w:eastAsia="zh-CN"/>
              </w:rPr>
              <w:t>，有固定的诊疗场所，使用面积</w:t>
            </w:r>
            <w:r>
              <w:rPr>
                <w:rFonts w:hint="default" w:ascii="Times New Roman" w:hAnsi="Times New Roman" w:eastAsia="宋体" w:cs="Times New Roman"/>
                <w:color w:val="auto"/>
                <w:sz w:val="21"/>
                <w:szCs w:val="21"/>
              </w:rPr>
              <w:t>517.26</w:t>
            </w:r>
            <w:r>
              <w:rPr>
                <w:rFonts w:hint="default" w:ascii="Times New Roman" w:hAnsi="Times New Roman" w:eastAsia="宋体" w:cs="Times New Roman"/>
                <w:color w:val="auto"/>
                <w:sz w:val="21"/>
                <w:szCs w:val="21"/>
                <w:lang w:val="en-US" w:eastAsia="zh-CN"/>
              </w:rPr>
              <w:t>m</w:t>
            </w:r>
            <w:r>
              <w:rPr>
                <w:rFonts w:hint="default" w:ascii="Times New Roman" w:hAnsi="Times New Roman" w:eastAsia="宋体" w:cs="Times New Roman"/>
                <w:color w:val="auto"/>
                <w:sz w:val="21"/>
                <w:szCs w:val="21"/>
                <w:vertAlign w:val="superscript"/>
                <w:lang w:val="en-US" w:eastAsia="zh-CN"/>
              </w:rPr>
              <w:t>2</w:t>
            </w:r>
            <w:r>
              <w:rPr>
                <w:rFonts w:hint="default" w:ascii="Times New Roman" w:hAnsi="Times New Roman" w:eastAsia="宋体" w:cs="Times New Roman"/>
                <w:sz w:val="21"/>
                <w:szCs w:val="21"/>
                <w:lang w:val="en-US" w:eastAsia="zh-CN"/>
              </w:rPr>
              <w:t>，有不动产权证。本项目设置猫狗诊室、手术室、X光室、B超房等，各功能室（区）之间明显分开、相对独立、标志清楚。本项目已配备高压氧舱、消毒器械等与宠物诊疗活动相配套的设施设备。</w:t>
            </w:r>
          </w:p>
          <w:p>
            <w:pPr>
              <w:numPr>
                <w:ilvl w:val="0"/>
                <w:numId w:val="0"/>
              </w:numPr>
              <w:autoSpaceDE w:val="0"/>
              <w:autoSpaceDN w:val="0"/>
              <w:adjustRightInd w:val="0"/>
              <w:snapToGrid w:val="0"/>
              <w:spacing w:line="360" w:lineRule="auto"/>
              <w:ind w:firstLine="420" w:firstLineChars="2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综上，本项目与《江苏省动物诊疗管理暂行办法》、《江苏省宠物诊疗机构规范化建设标准（试行）》的通知（苏农办牧[2011]67号）相符。</w:t>
            </w:r>
          </w:p>
          <w:p>
            <w:pPr>
              <w:autoSpaceDE w:val="0"/>
              <w:autoSpaceDN w:val="0"/>
              <w:adjustRightInd w:val="0"/>
              <w:snapToGrid w:val="0"/>
              <w:spacing w:line="360" w:lineRule="auto"/>
              <w:ind w:firstLine="422" w:firstLineChars="200"/>
              <w:jc w:val="left"/>
              <w:rPr>
                <w:rFonts w:hint="default" w:ascii="Times New Roman" w:hAnsi="Times New Roman" w:eastAsia="宋体" w:cs="Times New Roman"/>
                <w:b/>
                <w:sz w:val="21"/>
                <w:szCs w:val="21"/>
                <w:highlight w:val="none"/>
              </w:rPr>
            </w:pPr>
            <w:r>
              <w:rPr>
                <w:rFonts w:hint="default" w:ascii="Times New Roman" w:hAnsi="Times New Roman" w:eastAsia="宋体" w:cs="Times New Roman"/>
                <w:b/>
                <w:sz w:val="21"/>
                <w:szCs w:val="21"/>
                <w:highlight w:val="none"/>
              </w:rPr>
              <w:t>1</w:t>
            </w:r>
            <w:r>
              <w:rPr>
                <w:rFonts w:hint="eastAsia" w:ascii="Times New Roman" w:hAnsi="Times New Roman" w:eastAsia="宋体" w:cs="Times New Roman"/>
                <w:b/>
                <w:sz w:val="21"/>
                <w:szCs w:val="21"/>
                <w:highlight w:val="none"/>
                <w:lang w:val="en-US" w:eastAsia="zh-CN"/>
              </w:rPr>
              <w:t>4</w:t>
            </w:r>
            <w:r>
              <w:rPr>
                <w:rFonts w:hint="default" w:ascii="Times New Roman" w:hAnsi="Times New Roman" w:eastAsia="宋体" w:cs="Times New Roman"/>
                <w:b/>
                <w:sz w:val="21"/>
                <w:szCs w:val="21"/>
                <w:highlight w:val="none"/>
              </w:rPr>
              <w:t>、结论</w:t>
            </w:r>
          </w:p>
          <w:p>
            <w:pPr>
              <w:autoSpaceDE w:val="0"/>
              <w:autoSpaceDN w:val="0"/>
              <w:adjustRightInd w:val="0"/>
              <w:snapToGrid w:val="0"/>
              <w:spacing w:line="360" w:lineRule="auto"/>
              <w:ind w:firstLine="420" w:firstLineChars="200"/>
              <w:jc w:val="left"/>
              <w:rPr>
                <w:rFonts w:ascii="宋体" w:hAnsi="宋体"/>
                <w:szCs w:val="21"/>
              </w:rPr>
            </w:pPr>
            <w:r>
              <w:rPr>
                <w:rFonts w:hint="default" w:ascii="Times New Roman" w:hAnsi="Times New Roman" w:eastAsia="宋体" w:cs="Times New Roman"/>
                <w:sz w:val="21"/>
                <w:szCs w:val="21"/>
                <w:highlight w:val="none"/>
              </w:rPr>
              <w:t>综上所述，本项目符合相关产业政策、江苏省生态环境保护法律法规、太仓市总体规划以及相关生态环境保护规划等相关规划要求。</w:t>
            </w:r>
          </w:p>
        </w:tc>
      </w:tr>
    </w:tbl>
    <w:p>
      <w:pPr>
        <w:spacing w:line="360" w:lineRule="auto"/>
        <w:outlineLvl w:val="0"/>
        <w:rPr>
          <w:color w:val="FF0000"/>
          <w:sz w:val="30"/>
        </w:rPr>
        <w:sectPr>
          <w:headerReference r:id="rId5" w:type="default"/>
          <w:footerReference r:id="rId6" w:type="default"/>
          <w:pgSz w:w="11906" w:h="16838"/>
          <w:pgMar w:top="1440" w:right="1080" w:bottom="1440" w:left="1080" w:header="851" w:footer="1077" w:gutter="0"/>
          <w:pgNumType w:start="1"/>
          <w:cols w:space="720" w:num="1"/>
          <w:docGrid w:linePitch="312" w:charSpace="0"/>
        </w:sectPr>
      </w:pPr>
    </w:p>
    <w:p>
      <w:pPr>
        <w:pStyle w:val="32"/>
        <w:jc w:val="center"/>
        <w:outlineLvl w:val="0"/>
        <w:rPr>
          <w:rFonts w:ascii="黑体" w:hAnsi="黑体" w:eastAsia="黑体"/>
          <w:bCs/>
          <w:snapToGrid w:val="0"/>
          <w:sz w:val="30"/>
          <w:szCs w:val="30"/>
        </w:rPr>
      </w:pPr>
      <w:r>
        <w:rPr>
          <w:rFonts w:ascii="黑体" w:hAnsi="黑体" w:eastAsia="黑体"/>
          <w:bCs/>
          <w:snapToGrid w:val="0"/>
          <w:sz w:val="30"/>
          <w:szCs w:val="30"/>
        </w:rPr>
        <w:t>二、建设项目工程分析</w:t>
      </w:r>
    </w:p>
    <w:tbl>
      <w:tblPr>
        <w:tblStyle w:val="36"/>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24"/>
        <w:gridCol w:w="953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545" w:type="dxa"/>
            <w:vAlign w:val="center"/>
          </w:tcPr>
          <w:p>
            <w:pPr>
              <w:pStyle w:val="32"/>
              <w:adjustRightInd w:val="0"/>
              <w:snapToGrid w:val="0"/>
              <w:spacing w:before="0" w:beforeAutospacing="0" w:after="0" w:afterAutospacing="0"/>
              <w:jc w:val="center"/>
              <w:rPr>
                <w:rFonts w:ascii="Times New Roman" w:hAnsi="Times New Roman"/>
                <w:sz w:val="21"/>
                <w:szCs w:val="21"/>
              </w:rPr>
            </w:pPr>
            <w:r>
              <w:rPr>
                <w:rFonts w:ascii="Times New Roman" w:hAnsi="Times New Roman"/>
                <w:sz w:val="21"/>
                <w:szCs w:val="21"/>
              </w:rPr>
              <w:t>建设内容</w:t>
            </w:r>
          </w:p>
        </w:tc>
        <w:tc>
          <w:tcPr>
            <w:tcW w:w="9417" w:type="dxa"/>
            <w:vAlign w:val="center"/>
          </w:tcPr>
          <w:p>
            <w:pPr>
              <w:adjustRightInd w:val="0"/>
              <w:snapToGrid w:val="0"/>
              <w:spacing w:line="360" w:lineRule="auto"/>
              <w:ind w:firstLine="422" w:firstLineChars="20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1.项目由来</w:t>
            </w:r>
          </w:p>
          <w:p>
            <w:pPr>
              <w:adjustRightInd w:val="0"/>
              <w:snapToGrid w:val="0"/>
              <w:spacing w:line="360" w:lineRule="auto"/>
              <w:ind w:firstLine="444" w:firstLineChars="200"/>
              <w:rPr>
                <w:rFonts w:hint="default" w:ascii="Times New Roman" w:hAnsi="Times New Roman" w:eastAsia="宋体" w:cs="Times New Roman"/>
                <w:bCs/>
                <w:color w:val="auto"/>
                <w:spacing w:val="6"/>
                <w:sz w:val="21"/>
                <w:szCs w:val="21"/>
                <w:shd w:val="clear" w:color="auto" w:fill="FFFFFF"/>
                <w:lang w:val="en-US" w:eastAsia="zh-CN"/>
              </w:rPr>
            </w:pPr>
            <w:r>
              <w:rPr>
                <w:rFonts w:hint="default" w:ascii="Times New Roman" w:hAnsi="Times New Roman" w:eastAsia="宋体" w:cs="Times New Roman"/>
                <w:bCs/>
                <w:color w:val="auto"/>
                <w:spacing w:val="6"/>
                <w:sz w:val="21"/>
                <w:szCs w:val="21"/>
                <w:shd w:val="clear" w:color="auto" w:fill="FFFFFF"/>
                <w:lang w:val="en-US" w:eastAsia="zh-CN"/>
              </w:rPr>
              <w:t>苏州暖馨动物医院有限公司成立于2024年04月09日，位于太仓市高新区郑和中路376号，公司经营范围包括：动物诊疗(依法须经批准的项目，经相关部门批准后方可开展经营活动，具体经营项目以审批结果为准)一般项目:宠物服务(不含动物诊疗)；宠物销售；宠物食品及用品零售；宠物食品及用品批发；互联网销售(除销售需要许可的商品)(除依法须经批准的项目外，凭营业执照依法自主开展经营活动）。</w:t>
            </w:r>
          </w:p>
          <w:p>
            <w:pPr>
              <w:adjustRightInd w:val="0"/>
              <w:snapToGrid w:val="0"/>
              <w:spacing w:line="360" w:lineRule="auto"/>
              <w:ind w:firstLine="444" w:firstLineChars="200"/>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bCs/>
                <w:color w:val="auto"/>
                <w:spacing w:val="6"/>
                <w:sz w:val="21"/>
                <w:szCs w:val="21"/>
                <w:shd w:val="clear" w:color="auto" w:fill="FFFFFF"/>
                <w:lang w:val="en-US" w:eastAsia="zh-CN"/>
              </w:rPr>
              <w:t>企业现投资</w:t>
            </w:r>
            <w:r>
              <w:rPr>
                <w:rFonts w:hint="default" w:ascii="Times New Roman" w:hAnsi="Times New Roman" w:eastAsia="宋体" w:cs="Times New Roman"/>
                <w:color w:val="auto"/>
                <w:sz w:val="21"/>
                <w:szCs w:val="21"/>
                <w:lang w:val="en-US" w:eastAsia="zh-CN"/>
              </w:rPr>
              <w:t>400</w:t>
            </w:r>
            <w:r>
              <w:rPr>
                <w:rFonts w:hint="default" w:ascii="Times New Roman" w:hAnsi="Times New Roman" w:eastAsia="宋体" w:cs="Times New Roman"/>
                <w:color w:val="auto"/>
                <w:sz w:val="21"/>
                <w:szCs w:val="21"/>
              </w:rPr>
              <w:t>万元</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租赁太仓市高新区</w:t>
            </w:r>
            <w:r>
              <w:rPr>
                <w:rFonts w:hint="default" w:ascii="Times New Roman" w:hAnsi="Times New Roman" w:eastAsia="宋体" w:cs="Times New Roman"/>
                <w:color w:val="auto"/>
                <w:sz w:val="21"/>
                <w:szCs w:val="21"/>
              </w:rPr>
              <w:t>郑和中路376号20幢商铺06室</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lang w:val="en-US" w:eastAsia="zh-CN"/>
              </w:rPr>
              <w:t>购置高压氧舱、高压灭菌器等设备开展宠物医院服务。</w:t>
            </w:r>
          </w:p>
          <w:p>
            <w:pPr>
              <w:spacing w:line="360" w:lineRule="auto"/>
              <w:ind w:firstLine="420" w:firstLineChars="200"/>
              <w:rPr>
                <w:rFonts w:hint="default" w:ascii="Times New Roman" w:hAnsi="Times New Roman" w:eastAsia="宋体" w:cs="Times New Roman"/>
                <w:color w:val="FF0000"/>
                <w:sz w:val="21"/>
                <w:szCs w:val="21"/>
              </w:rPr>
            </w:pPr>
            <w:r>
              <w:rPr>
                <w:rFonts w:hint="default" w:ascii="Times New Roman" w:hAnsi="Times New Roman" w:eastAsia="宋体" w:cs="Times New Roman"/>
                <w:color w:val="auto"/>
                <w:sz w:val="21"/>
                <w:szCs w:val="21"/>
              </w:rPr>
              <w:t>根据《中华人民共和国环境保护法》、《建设项目环境保护管理条例》（国务院第682号令）、《中华人民共和国环境影响评价法》中有关规定，本项目需进行环境影响评价。根据《建设项目环境影响评价分类管理名录》（2021年版），确定本项目属于：五十、社会事业与服务业，123动物医院，设有动物颅腔、胸腔或腹腔手术设施的，建设项目应当编制环境影响评价报告表。受</w:t>
            </w:r>
            <w:r>
              <w:rPr>
                <w:rFonts w:hint="default" w:ascii="Times New Roman" w:hAnsi="Times New Roman" w:eastAsia="宋体" w:cs="Times New Roman"/>
                <w:sz w:val="21"/>
                <w:szCs w:val="21"/>
                <w:lang w:eastAsia="zh-CN"/>
              </w:rPr>
              <w:t>苏州暖馨动物医院有限公司</w:t>
            </w:r>
            <w:r>
              <w:rPr>
                <w:rFonts w:hint="default" w:ascii="Times New Roman" w:hAnsi="Times New Roman" w:eastAsia="宋体" w:cs="Times New Roman"/>
                <w:color w:val="auto"/>
                <w:sz w:val="21"/>
                <w:szCs w:val="21"/>
              </w:rPr>
              <w:t>委托，我公司承担建设项目的环境影响评价工作。在现场踏勘、资料收集和同类企业类比调查研究的基础上，编制了该项目的环境影响评价报告表。</w:t>
            </w:r>
          </w:p>
          <w:p>
            <w:pPr>
              <w:adjustRightInd w:val="0"/>
              <w:snapToGrid w:val="0"/>
              <w:spacing w:line="360" w:lineRule="auto"/>
              <w:ind w:firstLine="420" w:firstLineChars="200"/>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项目所涉及的消防、安全、辐射及卫生等问题不属于本评价范围，请公司按国家有关法律、法规和标准执行。</w:t>
            </w:r>
          </w:p>
          <w:p>
            <w:pPr>
              <w:adjustRightInd w:val="0"/>
              <w:snapToGrid w:val="0"/>
              <w:spacing w:line="360" w:lineRule="auto"/>
              <w:ind w:firstLine="422" w:firstLineChars="20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2.主要产品及产能情况</w:t>
            </w:r>
          </w:p>
          <w:p>
            <w:pPr>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表2-1项目产品及产能情况</w:t>
            </w:r>
          </w:p>
          <w:tbl>
            <w:tblPr>
              <w:tblStyle w:val="3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1"/>
              <w:gridCol w:w="2435"/>
              <w:gridCol w:w="3970"/>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058" w:type="pct"/>
                  <w:vAlign w:val="center"/>
                </w:tcPr>
                <w:p>
                  <w:pPr>
                    <w:snapToGrid w:val="0"/>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主体工程</w:t>
                  </w:r>
                </w:p>
              </w:tc>
              <w:tc>
                <w:tcPr>
                  <w:tcW w:w="1307" w:type="pct"/>
                  <w:vAlign w:val="center"/>
                </w:tcPr>
                <w:p>
                  <w:pPr>
                    <w:snapToGrid w:val="0"/>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产品名称</w:t>
                  </w:r>
                </w:p>
              </w:tc>
              <w:tc>
                <w:tcPr>
                  <w:tcW w:w="2131" w:type="pct"/>
                  <w:vAlign w:val="center"/>
                </w:tcPr>
                <w:p>
                  <w:pPr>
                    <w:snapToGrid w:val="0"/>
                    <w:jc w:val="center"/>
                    <w:rPr>
                      <w:rFonts w:hint="default" w:ascii="Times New Roman" w:hAnsi="Times New Roman" w:eastAsia="宋体" w:cs="Times New Roman"/>
                      <w:b/>
                      <w:bCs/>
                      <w:sz w:val="18"/>
                      <w:szCs w:val="18"/>
                      <w:lang w:eastAsia="zh-CN"/>
                    </w:rPr>
                  </w:pPr>
                  <w:r>
                    <w:rPr>
                      <w:rFonts w:hint="default" w:ascii="Times New Roman" w:hAnsi="Times New Roman" w:eastAsia="宋体" w:cs="Times New Roman"/>
                      <w:b/>
                      <w:bCs/>
                      <w:sz w:val="18"/>
                      <w:szCs w:val="18"/>
                    </w:rPr>
                    <w:t>设计产量</w:t>
                  </w:r>
                  <w:r>
                    <w:rPr>
                      <w:rFonts w:hint="default" w:ascii="Times New Roman" w:hAnsi="Times New Roman" w:eastAsia="宋体" w:cs="Times New Roman"/>
                      <w:b/>
                      <w:bCs/>
                      <w:sz w:val="18"/>
                      <w:szCs w:val="18"/>
                      <w:lang w:eastAsia="zh-CN"/>
                    </w:rPr>
                    <w:t>（</w:t>
                  </w:r>
                  <w:r>
                    <w:rPr>
                      <w:rFonts w:hint="default" w:ascii="Times New Roman" w:hAnsi="Times New Roman" w:eastAsia="宋体" w:cs="Times New Roman"/>
                      <w:b/>
                      <w:bCs/>
                      <w:sz w:val="18"/>
                      <w:szCs w:val="18"/>
                      <w:lang w:val="en-US" w:eastAsia="zh-CN"/>
                    </w:rPr>
                    <w:t>次/年</w:t>
                  </w:r>
                  <w:r>
                    <w:rPr>
                      <w:rFonts w:hint="default" w:ascii="Times New Roman" w:hAnsi="Times New Roman" w:eastAsia="宋体" w:cs="Times New Roman"/>
                      <w:b/>
                      <w:bCs/>
                      <w:sz w:val="18"/>
                      <w:szCs w:val="18"/>
                      <w:lang w:eastAsia="zh-CN"/>
                    </w:rPr>
                    <w:t>）</w:t>
                  </w:r>
                </w:p>
              </w:tc>
              <w:tc>
                <w:tcPr>
                  <w:tcW w:w="502" w:type="pct"/>
                  <w:vAlign w:val="center"/>
                </w:tcPr>
                <w:p>
                  <w:pPr>
                    <w:snapToGrid w:val="0"/>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运行时间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58" w:type="pct"/>
                  <w:vAlign w:val="center"/>
                </w:tcPr>
                <w:p>
                  <w:pPr>
                    <w:jc w:val="center"/>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宠物医院</w:t>
                  </w:r>
                </w:p>
              </w:tc>
              <w:tc>
                <w:tcPr>
                  <w:tcW w:w="1307"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接诊数</w:t>
                  </w:r>
                </w:p>
              </w:tc>
              <w:tc>
                <w:tcPr>
                  <w:tcW w:w="2131" w:type="pct"/>
                  <w:vAlign w:val="center"/>
                </w:tcPr>
                <w:p>
                  <w:pPr>
                    <w:snapToGrid w:val="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3500</w:t>
                  </w:r>
                </w:p>
              </w:tc>
              <w:tc>
                <w:tcPr>
                  <w:tcW w:w="502" w:type="pct"/>
                  <w:vAlign w:val="center"/>
                </w:tcPr>
                <w:p>
                  <w:pPr>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highlight w:val="none"/>
                    </w:rPr>
                    <w:t>3960</w:t>
                  </w:r>
                </w:p>
              </w:tc>
            </w:tr>
          </w:tbl>
          <w:p>
            <w:pPr>
              <w:numPr>
                <w:ilvl w:val="0"/>
                <w:numId w:val="5"/>
              </w:numPr>
              <w:spacing w:line="360" w:lineRule="auto"/>
              <w:ind w:firstLine="422" w:firstLineChars="20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建设项目内容</w:t>
            </w:r>
          </w:p>
          <w:p>
            <w:pPr>
              <w:spacing w:line="360" w:lineRule="auto"/>
              <w:ind w:firstLine="420" w:firstLineChars="200"/>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建设项目主要建设内容详见表2-2</w:t>
            </w:r>
          </w:p>
          <w:p>
            <w:pPr>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表2-2建设项目主要建设内容</w:t>
            </w:r>
          </w:p>
          <w:tbl>
            <w:tblPr>
              <w:tblStyle w:val="36"/>
              <w:tblW w:w="5000" w:type="pct"/>
              <w:jc w:val="center"/>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Layout w:type="autofit"/>
              <w:tblCellMar>
                <w:top w:w="0" w:type="dxa"/>
                <w:left w:w="108" w:type="dxa"/>
                <w:bottom w:w="0" w:type="dxa"/>
                <w:right w:w="108" w:type="dxa"/>
              </w:tblCellMar>
            </w:tblPr>
            <w:tblGrid>
              <w:gridCol w:w="1180"/>
              <w:gridCol w:w="1543"/>
              <w:gridCol w:w="3686"/>
              <w:gridCol w:w="2913"/>
            </w:tblGrid>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633" w:type="pct"/>
                  <w:vAlign w:val="center"/>
                </w:tcPr>
                <w:p>
                  <w:pPr>
                    <w:adjustRightInd w:val="0"/>
                    <w:snapToGrid w:val="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工程类别</w:t>
                  </w:r>
                </w:p>
              </w:tc>
              <w:tc>
                <w:tcPr>
                  <w:tcW w:w="827" w:type="pct"/>
                  <w:vAlign w:val="center"/>
                </w:tcPr>
                <w:p>
                  <w:pPr>
                    <w:adjustRightInd w:val="0"/>
                    <w:snapToGrid w:val="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单项工程名称</w:t>
                  </w:r>
                </w:p>
              </w:tc>
              <w:tc>
                <w:tcPr>
                  <w:tcW w:w="1976" w:type="pct"/>
                  <w:vAlign w:val="center"/>
                </w:tcPr>
                <w:p>
                  <w:pPr>
                    <w:adjustRightInd w:val="0"/>
                    <w:snapToGrid w:val="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工程内容</w:t>
                  </w:r>
                </w:p>
              </w:tc>
              <w:tc>
                <w:tcPr>
                  <w:tcW w:w="1562" w:type="pct"/>
                  <w:vAlign w:val="center"/>
                </w:tcPr>
                <w:p>
                  <w:pPr>
                    <w:adjustRightInd w:val="0"/>
                    <w:snapToGrid w:val="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工程规模</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633" w:type="pct"/>
                  <w:vMerge w:val="restar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主体工程</w:t>
                  </w:r>
                </w:p>
              </w:tc>
              <w:tc>
                <w:tcPr>
                  <w:tcW w:w="827" w:type="pct"/>
                  <w:vMerge w:val="restart"/>
                  <w:vAlign w:val="center"/>
                </w:tcPr>
                <w:p>
                  <w:pPr>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诊室</w:t>
                  </w:r>
                </w:p>
              </w:tc>
              <w:tc>
                <w:tcPr>
                  <w:tcW w:w="1976"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租赁</w:t>
                  </w:r>
                  <w:r>
                    <w:rPr>
                      <w:rFonts w:hint="default" w:ascii="Times New Roman" w:hAnsi="Times New Roman" w:eastAsia="宋体" w:cs="Times New Roman"/>
                      <w:sz w:val="18"/>
                      <w:szCs w:val="18"/>
                      <w:lang w:val="en-US" w:eastAsia="zh-CN"/>
                    </w:rPr>
                    <w:t>商铺</w:t>
                  </w:r>
                  <w:r>
                    <w:rPr>
                      <w:rFonts w:hint="default" w:ascii="Times New Roman" w:hAnsi="Times New Roman" w:eastAsia="宋体" w:cs="Times New Roman"/>
                      <w:sz w:val="18"/>
                      <w:szCs w:val="18"/>
                    </w:rPr>
                    <w:t>1F</w:t>
                  </w:r>
                </w:p>
              </w:tc>
              <w:tc>
                <w:tcPr>
                  <w:tcW w:w="1562" w:type="pct"/>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rPr>
                    <w:t>共</w:t>
                  </w:r>
                  <w:r>
                    <w:rPr>
                      <w:rFonts w:hint="default" w:ascii="Times New Roman" w:hAnsi="Times New Roman" w:eastAsia="宋体" w:cs="Times New Roman"/>
                      <w:sz w:val="18"/>
                      <w:szCs w:val="18"/>
                      <w:lang w:val="en-US" w:eastAsia="zh-CN"/>
                    </w:rPr>
                    <w:t>257.6</w:t>
                  </w:r>
                  <w:r>
                    <w:rPr>
                      <w:rFonts w:hint="default" w:ascii="Times New Roman" w:hAnsi="Times New Roman" w:eastAsia="宋体" w:cs="Times New Roman"/>
                      <w:sz w:val="18"/>
                      <w:szCs w:val="18"/>
                    </w:rPr>
                    <w:t>m</w:t>
                  </w:r>
                  <w:r>
                    <w:rPr>
                      <w:rFonts w:hint="default" w:ascii="Times New Roman" w:hAnsi="Times New Roman" w:eastAsia="宋体" w:cs="Times New Roman"/>
                      <w:sz w:val="18"/>
                      <w:szCs w:val="18"/>
                      <w:vertAlign w:val="superscript"/>
                    </w:rPr>
                    <w:t>2</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633" w:type="pct"/>
                  <w:vMerge w:val="continue"/>
                  <w:vAlign w:val="center"/>
                </w:tcPr>
                <w:p>
                  <w:pPr>
                    <w:adjustRightInd w:val="0"/>
                    <w:snapToGrid w:val="0"/>
                    <w:jc w:val="center"/>
                    <w:rPr>
                      <w:rFonts w:hint="default" w:ascii="Times New Roman" w:hAnsi="Times New Roman" w:eastAsia="宋体" w:cs="Times New Roman"/>
                      <w:sz w:val="18"/>
                      <w:szCs w:val="18"/>
                    </w:rPr>
                  </w:pPr>
                </w:p>
              </w:tc>
              <w:tc>
                <w:tcPr>
                  <w:tcW w:w="827" w:type="pct"/>
                  <w:vMerge w:val="continue"/>
                  <w:vAlign w:val="center"/>
                </w:tcPr>
                <w:p>
                  <w:pPr>
                    <w:adjustRightInd w:val="0"/>
                    <w:snapToGrid w:val="0"/>
                    <w:jc w:val="center"/>
                    <w:rPr>
                      <w:rFonts w:hint="default" w:ascii="Times New Roman" w:hAnsi="Times New Roman" w:eastAsia="宋体" w:cs="Times New Roman"/>
                      <w:sz w:val="18"/>
                      <w:szCs w:val="18"/>
                    </w:rPr>
                  </w:pPr>
                </w:p>
              </w:tc>
              <w:tc>
                <w:tcPr>
                  <w:tcW w:w="1976"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租赁</w:t>
                  </w:r>
                  <w:r>
                    <w:rPr>
                      <w:rFonts w:hint="default" w:ascii="Times New Roman" w:hAnsi="Times New Roman" w:eastAsia="宋体" w:cs="Times New Roman"/>
                      <w:sz w:val="18"/>
                      <w:szCs w:val="18"/>
                      <w:lang w:val="en-US" w:eastAsia="zh-CN"/>
                    </w:rPr>
                    <w:t>商铺2</w:t>
                  </w:r>
                  <w:r>
                    <w:rPr>
                      <w:rFonts w:hint="default" w:ascii="Times New Roman" w:hAnsi="Times New Roman" w:eastAsia="宋体" w:cs="Times New Roman"/>
                      <w:sz w:val="18"/>
                      <w:szCs w:val="18"/>
                    </w:rPr>
                    <w:t>F</w:t>
                  </w:r>
                </w:p>
              </w:tc>
              <w:tc>
                <w:tcPr>
                  <w:tcW w:w="1562"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共</w:t>
                  </w:r>
                  <w:r>
                    <w:rPr>
                      <w:rFonts w:hint="default" w:ascii="Times New Roman" w:hAnsi="Times New Roman" w:eastAsia="宋体" w:cs="Times New Roman"/>
                      <w:sz w:val="18"/>
                      <w:szCs w:val="18"/>
                      <w:lang w:val="en-US" w:eastAsia="zh-CN"/>
                    </w:rPr>
                    <w:t>251.9</w:t>
                  </w:r>
                  <w:r>
                    <w:rPr>
                      <w:rFonts w:hint="default" w:ascii="Times New Roman" w:hAnsi="Times New Roman" w:eastAsia="宋体" w:cs="Times New Roman"/>
                      <w:sz w:val="18"/>
                      <w:szCs w:val="18"/>
                    </w:rPr>
                    <w:t>m</w:t>
                  </w:r>
                  <w:r>
                    <w:rPr>
                      <w:rFonts w:hint="default" w:ascii="Times New Roman" w:hAnsi="Times New Roman" w:eastAsia="宋体" w:cs="Times New Roman"/>
                      <w:sz w:val="18"/>
                      <w:szCs w:val="18"/>
                      <w:vertAlign w:val="superscript"/>
                    </w:rPr>
                    <w:t>2</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633" w:type="pct"/>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辅助工程</w:t>
                  </w:r>
                </w:p>
              </w:tc>
              <w:tc>
                <w:tcPr>
                  <w:tcW w:w="827" w:type="pct"/>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更衣室</w:t>
                  </w:r>
                </w:p>
              </w:tc>
              <w:tc>
                <w:tcPr>
                  <w:tcW w:w="1976"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租赁</w:t>
                  </w:r>
                  <w:r>
                    <w:rPr>
                      <w:rFonts w:hint="default" w:ascii="Times New Roman" w:hAnsi="Times New Roman" w:eastAsia="宋体" w:cs="Times New Roman"/>
                      <w:sz w:val="18"/>
                      <w:szCs w:val="18"/>
                      <w:lang w:val="en-US" w:eastAsia="zh-CN"/>
                    </w:rPr>
                    <w:t>商铺2</w:t>
                  </w:r>
                  <w:r>
                    <w:rPr>
                      <w:rFonts w:hint="default" w:ascii="Times New Roman" w:hAnsi="Times New Roman" w:eastAsia="宋体" w:cs="Times New Roman"/>
                      <w:sz w:val="18"/>
                      <w:szCs w:val="18"/>
                    </w:rPr>
                    <w:t>F</w:t>
                  </w:r>
                </w:p>
              </w:tc>
              <w:tc>
                <w:tcPr>
                  <w:tcW w:w="1562" w:type="pct"/>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8</w:t>
                  </w:r>
                  <w:r>
                    <w:rPr>
                      <w:rFonts w:hint="default" w:ascii="Times New Roman" w:hAnsi="Times New Roman" w:eastAsia="宋体" w:cs="Times New Roman"/>
                      <w:sz w:val="18"/>
                      <w:szCs w:val="18"/>
                    </w:rPr>
                    <w:t>m</w:t>
                  </w:r>
                  <w:r>
                    <w:rPr>
                      <w:rFonts w:hint="default" w:ascii="Times New Roman" w:hAnsi="Times New Roman" w:eastAsia="宋体" w:cs="Times New Roman"/>
                      <w:sz w:val="18"/>
                      <w:szCs w:val="18"/>
                      <w:vertAlign w:val="superscript"/>
                    </w:rPr>
                    <w:t>2</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633" w:type="pct"/>
                  <w:vMerge w:val="continue"/>
                  <w:vAlign w:val="center"/>
                </w:tcPr>
                <w:p>
                  <w:pPr>
                    <w:rPr>
                      <w:rFonts w:hint="default" w:ascii="Times New Roman" w:hAnsi="Times New Roman" w:eastAsia="宋体" w:cs="Times New Roman"/>
                      <w:sz w:val="18"/>
                      <w:szCs w:val="18"/>
                    </w:rPr>
                  </w:pPr>
                </w:p>
              </w:tc>
              <w:tc>
                <w:tcPr>
                  <w:tcW w:w="827" w:type="pct"/>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会议室</w:t>
                  </w:r>
                </w:p>
              </w:tc>
              <w:tc>
                <w:tcPr>
                  <w:tcW w:w="1976"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租赁</w:t>
                  </w:r>
                  <w:r>
                    <w:rPr>
                      <w:rFonts w:hint="default" w:ascii="Times New Roman" w:hAnsi="Times New Roman" w:eastAsia="宋体" w:cs="Times New Roman"/>
                      <w:sz w:val="18"/>
                      <w:szCs w:val="18"/>
                      <w:lang w:val="en-US" w:eastAsia="zh-CN"/>
                    </w:rPr>
                    <w:t>商铺2</w:t>
                  </w:r>
                  <w:r>
                    <w:rPr>
                      <w:rFonts w:hint="default" w:ascii="Times New Roman" w:hAnsi="Times New Roman" w:eastAsia="宋体" w:cs="Times New Roman"/>
                      <w:sz w:val="18"/>
                      <w:szCs w:val="18"/>
                    </w:rPr>
                    <w:t>F</w:t>
                  </w:r>
                </w:p>
              </w:tc>
              <w:tc>
                <w:tcPr>
                  <w:tcW w:w="1562"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20.9</w:t>
                  </w:r>
                  <w:r>
                    <w:rPr>
                      <w:rFonts w:hint="default" w:ascii="Times New Roman" w:hAnsi="Times New Roman" w:eastAsia="宋体" w:cs="Times New Roman"/>
                      <w:sz w:val="18"/>
                      <w:szCs w:val="18"/>
                    </w:rPr>
                    <w:t>m</w:t>
                  </w:r>
                  <w:r>
                    <w:rPr>
                      <w:rFonts w:hint="default" w:ascii="Times New Roman" w:hAnsi="Times New Roman" w:eastAsia="宋体" w:cs="Times New Roman"/>
                      <w:sz w:val="18"/>
                      <w:szCs w:val="18"/>
                      <w:vertAlign w:val="superscript"/>
                    </w:rPr>
                    <w:t>2</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633" w:type="pct"/>
                  <w:vMerge w:val="restar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公用工程</w:t>
                  </w:r>
                </w:p>
              </w:tc>
              <w:tc>
                <w:tcPr>
                  <w:tcW w:w="827"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供电</w:t>
                  </w:r>
                </w:p>
              </w:tc>
              <w:tc>
                <w:tcPr>
                  <w:tcW w:w="1976"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由变电站供电，由市政电力管网接入</w:t>
                  </w:r>
                </w:p>
              </w:tc>
              <w:tc>
                <w:tcPr>
                  <w:tcW w:w="1562"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年用电量</w:t>
                  </w:r>
                  <w:r>
                    <w:rPr>
                      <w:rFonts w:hint="default" w:ascii="Times New Roman" w:hAnsi="Times New Roman" w:eastAsia="宋体" w:cs="Times New Roman"/>
                      <w:sz w:val="18"/>
                      <w:szCs w:val="18"/>
                      <w:lang w:val="en-US" w:eastAsia="zh-CN"/>
                    </w:rPr>
                    <w:t>50</w:t>
                  </w:r>
                  <w:r>
                    <w:rPr>
                      <w:rFonts w:hint="default" w:ascii="Times New Roman" w:hAnsi="Times New Roman" w:eastAsia="宋体" w:cs="Times New Roman"/>
                      <w:sz w:val="18"/>
                      <w:szCs w:val="18"/>
                    </w:rPr>
                    <w:t>万kWh/a</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633" w:type="pct"/>
                  <w:vMerge w:val="continue"/>
                  <w:vAlign w:val="center"/>
                </w:tcPr>
                <w:p>
                  <w:pPr>
                    <w:rPr>
                      <w:rFonts w:hint="default" w:ascii="Times New Roman" w:hAnsi="Times New Roman" w:eastAsia="宋体" w:cs="Times New Roman"/>
                      <w:sz w:val="18"/>
                      <w:szCs w:val="18"/>
                    </w:rPr>
                  </w:pPr>
                </w:p>
              </w:tc>
              <w:tc>
                <w:tcPr>
                  <w:tcW w:w="827"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供水</w:t>
                  </w:r>
                </w:p>
              </w:tc>
              <w:tc>
                <w:tcPr>
                  <w:tcW w:w="1976"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市政供水管网接入</w:t>
                  </w:r>
                </w:p>
              </w:tc>
              <w:tc>
                <w:tcPr>
                  <w:tcW w:w="1562"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年用水量</w:t>
                  </w:r>
                  <w:r>
                    <w:rPr>
                      <w:rFonts w:hint="default" w:ascii="Times New Roman" w:hAnsi="Times New Roman" w:eastAsia="宋体" w:cs="Times New Roman"/>
                      <w:sz w:val="18"/>
                      <w:szCs w:val="18"/>
                      <w:lang w:val="en-US" w:eastAsia="zh-CN"/>
                    </w:rPr>
                    <w:t>916.7</w:t>
                  </w:r>
                  <w:r>
                    <w:rPr>
                      <w:rFonts w:hint="default" w:ascii="Times New Roman" w:hAnsi="Times New Roman" w:eastAsia="宋体" w:cs="Times New Roman"/>
                      <w:sz w:val="18"/>
                      <w:szCs w:val="18"/>
                    </w:rPr>
                    <w:t>m3/a</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633" w:type="pct"/>
                  <w:vMerge w:val="continue"/>
                  <w:vAlign w:val="center"/>
                </w:tcPr>
                <w:p>
                  <w:pPr>
                    <w:rPr>
                      <w:rFonts w:hint="default" w:ascii="Times New Roman" w:hAnsi="Times New Roman" w:eastAsia="宋体" w:cs="Times New Roman"/>
                      <w:sz w:val="18"/>
                      <w:szCs w:val="18"/>
                    </w:rPr>
                  </w:pPr>
                </w:p>
              </w:tc>
              <w:tc>
                <w:tcPr>
                  <w:tcW w:w="827" w:type="pct"/>
                  <w:vMerge w:val="restar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排水</w:t>
                  </w:r>
                </w:p>
              </w:tc>
              <w:tc>
                <w:tcPr>
                  <w:tcW w:w="1976"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生活污水</w:t>
                  </w:r>
                </w:p>
              </w:tc>
              <w:tc>
                <w:tcPr>
                  <w:tcW w:w="1562"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highlight w:val="none"/>
                    </w:rPr>
                    <w:t>废水排放量</w:t>
                  </w:r>
                  <w:r>
                    <w:rPr>
                      <w:rFonts w:hint="default" w:ascii="Times New Roman" w:hAnsi="Times New Roman" w:eastAsia="宋体" w:cs="Times New Roman"/>
                      <w:sz w:val="18"/>
                      <w:szCs w:val="18"/>
                      <w:highlight w:val="none"/>
                      <w:lang w:val="en-US" w:eastAsia="zh-CN"/>
                    </w:rPr>
                    <w:t>797.4</w:t>
                  </w:r>
                  <w:r>
                    <w:rPr>
                      <w:rFonts w:hint="default" w:ascii="Times New Roman" w:hAnsi="Times New Roman" w:eastAsia="宋体" w:cs="Times New Roman"/>
                      <w:sz w:val="18"/>
                      <w:szCs w:val="18"/>
                      <w:highlight w:val="none"/>
                    </w:rPr>
                    <w:t>m</w:t>
                  </w:r>
                  <w:r>
                    <w:rPr>
                      <w:rFonts w:hint="default" w:ascii="Times New Roman" w:hAnsi="Times New Roman" w:eastAsia="宋体" w:cs="Times New Roman"/>
                      <w:sz w:val="18"/>
                      <w:szCs w:val="18"/>
                      <w:highlight w:val="none"/>
                      <w:vertAlign w:val="superscript"/>
                    </w:rPr>
                    <w:t>3</w:t>
                  </w:r>
                  <w:r>
                    <w:rPr>
                      <w:rFonts w:hint="default" w:ascii="Times New Roman" w:hAnsi="Times New Roman" w:eastAsia="宋体" w:cs="Times New Roman"/>
                      <w:sz w:val="18"/>
                      <w:szCs w:val="18"/>
                      <w:highlight w:val="none"/>
                    </w:rPr>
                    <w:t>/a</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633" w:type="pct"/>
                  <w:vMerge w:val="continue"/>
                  <w:vAlign w:val="center"/>
                </w:tcPr>
                <w:p>
                  <w:pPr>
                    <w:rPr>
                      <w:rFonts w:hint="default" w:ascii="Times New Roman" w:hAnsi="Times New Roman" w:eastAsia="宋体" w:cs="Times New Roman"/>
                      <w:sz w:val="18"/>
                      <w:szCs w:val="18"/>
                    </w:rPr>
                  </w:pPr>
                </w:p>
              </w:tc>
              <w:tc>
                <w:tcPr>
                  <w:tcW w:w="827" w:type="pct"/>
                  <w:vMerge w:val="continue"/>
                  <w:vAlign w:val="center"/>
                </w:tcPr>
                <w:p>
                  <w:pPr>
                    <w:rPr>
                      <w:rFonts w:hint="default" w:ascii="Times New Roman" w:hAnsi="Times New Roman" w:eastAsia="宋体" w:cs="Times New Roman"/>
                      <w:sz w:val="18"/>
                      <w:szCs w:val="18"/>
                    </w:rPr>
                  </w:pPr>
                </w:p>
              </w:tc>
              <w:tc>
                <w:tcPr>
                  <w:tcW w:w="1976"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污水接管口</w:t>
                  </w:r>
                </w:p>
              </w:tc>
              <w:tc>
                <w:tcPr>
                  <w:tcW w:w="1562" w:type="pct"/>
                  <w:vAlign w:val="center"/>
                </w:tcPr>
                <w:p>
                  <w:pPr>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依托租赁</w:t>
                  </w:r>
                  <w:r>
                    <w:rPr>
                      <w:rFonts w:hint="default" w:ascii="Times New Roman" w:hAnsi="Times New Roman" w:eastAsia="宋体" w:cs="Times New Roman"/>
                      <w:sz w:val="18"/>
                      <w:szCs w:val="18"/>
                      <w:lang w:val="en-US" w:eastAsia="zh-CN"/>
                    </w:rPr>
                    <w:t>商铺</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633" w:type="pct"/>
                  <w:vMerge w:val="continue"/>
                  <w:vAlign w:val="center"/>
                </w:tcPr>
                <w:p>
                  <w:pPr>
                    <w:rPr>
                      <w:rFonts w:hint="default" w:ascii="Times New Roman" w:hAnsi="Times New Roman" w:eastAsia="宋体" w:cs="Times New Roman"/>
                      <w:sz w:val="18"/>
                      <w:szCs w:val="18"/>
                    </w:rPr>
                  </w:pPr>
                </w:p>
              </w:tc>
              <w:tc>
                <w:tcPr>
                  <w:tcW w:w="827"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消防</w:t>
                  </w:r>
                </w:p>
              </w:tc>
              <w:tc>
                <w:tcPr>
                  <w:tcW w:w="1976"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室内和室外消防栓，与生活用水合流，消防水池</w:t>
                  </w:r>
                </w:p>
              </w:tc>
              <w:tc>
                <w:tcPr>
                  <w:tcW w:w="1562"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满足消防设计要求</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633" w:type="pct"/>
                  <w:vMerge w:val="restart"/>
                  <w:vAlign w:val="center"/>
                </w:tcPr>
                <w:p>
                  <w:pP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储运工程</w:t>
                  </w:r>
                </w:p>
              </w:tc>
              <w:tc>
                <w:tcPr>
                  <w:tcW w:w="827"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厂外运输</w:t>
                  </w:r>
                </w:p>
              </w:tc>
              <w:tc>
                <w:tcPr>
                  <w:tcW w:w="1976"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依赖社会车辆完成</w:t>
                  </w:r>
                </w:p>
              </w:tc>
              <w:tc>
                <w:tcPr>
                  <w:tcW w:w="1562"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633" w:type="pct"/>
                  <w:vMerge w:val="continue"/>
                  <w:vAlign w:val="center"/>
                </w:tcPr>
                <w:p>
                  <w:pPr>
                    <w:rPr>
                      <w:rFonts w:hint="default" w:ascii="Times New Roman" w:hAnsi="Times New Roman" w:eastAsia="宋体" w:cs="Times New Roman"/>
                      <w:color w:val="FF0000"/>
                      <w:sz w:val="18"/>
                      <w:szCs w:val="18"/>
                    </w:rPr>
                  </w:pPr>
                </w:p>
              </w:tc>
              <w:tc>
                <w:tcPr>
                  <w:tcW w:w="827" w:type="pct"/>
                  <w:vAlign w:val="center"/>
                </w:tcPr>
                <w:p>
                  <w:pPr>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杂物间</w:t>
                  </w:r>
                </w:p>
              </w:tc>
              <w:tc>
                <w:tcPr>
                  <w:tcW w:w="1976" w:type="pct"/>
                  <w:vAlign w:val="center"/>
                </w:tcPr>
                <w:p>
                  <w:pPr>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存放杂物</w:t>
                  </w:r>
                </w:p>
              </w:tc>
              <w:tc>
                <w:tcPr>
                  <w:tcW w:w="1562" w:type="pct"/>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2.9</w:t>
                  </w:r>
                  <w:r>
                    <w:rPr>
                      <w:rFonts w:hint="default" w:ascii="Times New Roman" w:hAnsi="Times New Roman" w:eastAsia="宋体" w:cs="Times New Roman"/>
                      <w:sz w:val="18"/>
                      <w:szCs w:val="18"/>
                    </w:rPr>
                    <w:t>m</w:t>
                  </w:r>
                  <w:r>
                    <w:rPr>
                      <w:rFonts w:hint="default" w:ascii="Times New Roman" w:hAnsi="Times New Roman" w:eastAsia="宋体" w:cs="Times New Roman"/>
                      <w:sz w:val="18"/>
                      <w:szCs w:val="18"/>
                      <w:vertAlign w:val="superscript"/>
                      <w:lang w:val="en-US" w:eastAsia="zh-CN"/>
                    </w:rPr>
                    <w:t>2</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816" w:hRule="atLeast"/>
                <w:jc w:val="center"/>
              </w:trPr>
              <w:tc>
                <w:tcPr>
                  <w:tcW w:w="633" w:type="pct"/>
                  <w:vMerge w:val="restar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环保工程</w:t>
                  </w:r>
                </w:p>
              </w:tc>
              <w:tc>
                <w:tcPr>
                  <w:tcW w:w="827"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废气治理</w:t>
                  </w:r>
                </w:p>
              </w:tc>
              <w:tc>
                <w:tcPr>
                  <w:tcW w:w="1976" w:type="pct"/>
                  <w:vAlign w:val="center"/>
                </w:tcPr>
                <w:p>
                  <w:pPr>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少量恶臭气体经</w:t>
                  </w:r>
                  <w:r>
                    <w:rPr>
                      <w:rFonts w:hint="default" w:ascii="Times New Roman" w:hAnsi="Times New Roman" w:eastAsia="宋体" w:cs="Times New Roman"/>
                      <w:sz w:val="18"/>
                      <w:szCs w:val="18"/>
                      <w:lang w:val="en-US" w:eastAsia="zh-CN"/>
                    </w:rPr>
                    <w:t>无组织</w:t>
                  </w:r>
                  <w:r>
                    <w:rPr>
                      <w:rFonts w:hint="default" w:ascii="Times New Roman" w:hAnsi="Times New Roman" w:eastAsia="宋体" w:cs="Times New Roman"/>
                      <w:sz w:val="18"/>
                      <w:szCs w:val="18"/>
                    </w:rPr>
                    <w:t>排放</w:t>
                  </w:r>
                </w:p>
              </w:tc>
              <w:tc>
                <w:tcPr>
                  <w:tcW w:w="1562" w:type="pct"/>
                  <w:vAlign w:val="center"/>
                </w:tcPr>
                <w:p>
                  <w:pPr>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加强管理，宠物的粪便和尿液及时收集，经消毒处理后排入市政管网；定期对院内进行消毒除臭</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340" w:hRule="atLeast"/>
                <w:jc w:val="center"/>
              </w:trPr>
              <w:tc>
                <w:tcPr>
                  <w:tcW w:w="633" w:type="pct"/>
                  <w:vMerge w:val="continue"/>
                  <w:vAlign w:val="center"/>
                </w:tcPr>
                <w:p>
                  <w:pPr>
                    <w:adjustRightInd w:val="0"/>
                    <w:snapToGrid w:val="0"/>
                    <w:jc w:val="center"/>
                    <w:rPr>
                      <w:rFonts w:hint="default" w:ascii="Times New Roman" w:hAnsi="Times New Roman" w:eastAsia="宋体" w:cs="Times New Roman"/>
                      <w:sz w:val="18"/>
                      <w:szCs w:val="18"/>
                    </w:rPr>
                  </w:pPr>
                </w:p>
              </w:tc>
              <w:tc>
                <w:tcPr>
                  <w:tcW w:w="827"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废水治理</w:t>
                  </w:r>
                </w:p>
              </w:tc>
              <w:tc>
                <w:tcPr>
                  <w:tcW w:w="1976"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医疗废水经消毒处理后与生活污水</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val="en-US" w:eastAsia="zh-CN"/>
                    </w:rPr>
                    <w:t>洗浴</w:t>
                  </w:r>
                  <w:r>
                    <w:rPr>
                      <w:rFonts w:hint="default" w:ascii="Times New Roman" w:hAnsi="Times New Roman" w:eastAsia="宋体" w:cs="Times New Roman"/>
                      <w:sz w:val="18"/>
                      <w:szCs w:val="18"/>
                    </w:rPr>
                    <w:t>污水一并接入城东污水处理厂</w:t>
                  </w:r>
                </w:p>
              </w:tc>
              <w:tc>
                <w:tcPr>
                  <w:tcW w:w="1562"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接入市政管网经城东污水处理厂 处理后排入新浏河</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267" w:hRule="atLeast"/>
                <w:jc w:val="center"/>
              </w:trPr>
              <w:tc>
                <w:tcPr>
                  <w:tcW w:w="633" w:type="pct"/>
                  <w:vMerge w:val="continue"/>
                  <w:vAlign w:val="center"/>
                </w:tcPr>
                <w:p>
                  <w:pPr>
                    <w:rPr>
                      <w:rFonts w:hint="default" w:ascii="Times New Roman" w:hAnsi="Times New Roman" w:eastAsia="宋体" w:cs="Times New Roman"/>
                      <w:sz w:val="18"/>
                      <w:szCs w:val="18"/>
                    </w:rPr>
                  </w:pPr>
                </w:p>
              </w:tc>
              <w:tc>
                <w:tcPr>
                  <w:tcW w:w="827" w:type="pct"/>
                  <w:vMerge w:val="restar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固废治理</w:t>
                  </w:r>
                </w:p>
              </w:tc>
              <w:tc>
                <w:tcPr>
                  <w:tcW w:w="1976" w:type="pct"/>
                  <w:vAlign w:val="center"/>
                </w:tcPr>
                <w:p>
                  <w:pPr>
                    <w:adjustRightInd w:val="0"/>
                    <w:snapToGrid w:val="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生活垃圾</w:t>
                  </w:r>
                </w:p>
              </w:tc>
              <w:tc>
                <w:tcPr>
                  <w:tcW w:w="1562"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lang w:eastAsia="en-US"/>
                    </w:rPr>
                    <w:t>环卫所统一收集处理</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540" w:hRule="atLeast"/>
                <w:jc w:val="center"/>
              </w:trPr>
              <w:tc>
                <w:tcPr>
                  <w:tcW w:w="633" w:type="pct"/>
                  <w:vMerge w:val="continue"/>
                  <w:vAlign w:val="center"/>
                </w:tcPr>
                <w:p>
                  <w:pPr>
                    <w:rPr>
                      <w:rFonts w:hint="default" w:ascii="Times New Roman" w:hAnsi="Times New Roman" w:eastAsia="宋体" w:cs="Times New Roman"/>
                      <w:sz w:val="18"/>
                      <w:szCs w:val="18"/>
                    </w:rPr>
                  </w:pPr>
                </w:p>
              </w:tc>
              <w:tc>
                <w:tcPr>
                  <w:tcW w:w="827" w:type="pct"/>
                  <w:vMerge w:val="continue"/>
                  <w:vAlign w:val="center"/>
                </w:tcPr>
                <w:p>
                  <w:pPr>
                    <w:rPr>
                      <w:rFonts w:hint="default" w:ascii="Times New Roman" w:hAnsi="Times New Roman" w:eastAsia="宋体" w:cs="Times New Roman"/>
                      <w:sz w:val="18"/>
                      <w:szCs w:val="18"/>
                    </w:rPr>
                  </w:pPr>
                </w:p>
              </w:tc>
              <w:tc>
                <w:tcPr>
                  <w:tcW w:w="1976" w:type="pct"/>
                  <w:vAlign w:val="center"/>
                </w:tcPr>
                <w:p>
                  <w:pPr>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分类存于</w:t>
                  </w:r>
                  <w:r>
                    <w:rPr>
                      <w:rFonts w:hint="default" w:ascii="Times New Roman" w:hAnsi="Times New Roman" w:eastAsia="宋体" w:cs="Times New Roman"/>
                      <w:sz w:val="18"/>
                      <w:szCs w:val="18"/>
                      <w:lang w:eastAsia="zh-CN"/>
                    </w:rPr>
                    <w:t>医疗废物存储间</w:t>
                  </w:r>
                </w:p>
              </w:tc>
              <w:tc>
                <w:tcPr>
                  <w:tcW w:w="1562"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highlight w:val="none"/>
                      <w:lang w:val="en-US" w:eastAsia="zh-CN"/>
                    </w:rPr>
                    <w:t>3</w:t>
                  </w:r>
                  <w:r>
                    <w:rPr>
                      <w:rFonts w:hint="default" w:ascii="Times New Roman" w:hAnsi="Times New Roman" w:eastAsia="宋体" w:cs="Times New Roman"/>
                      <w:sz w:val="18"/>
                      <w:szCs w:val="18"/>
                      <w:highlight w:val="none"/>
                    </w:rPr>
                    <w:t>m</w:t>
                  </w:r>
                  <w:r>
                    <w:rPr>
                      <w:rFonts w:hint="default" w:ascii="Times New Roman" w:hAnsi="Times New Roman" w:eastAsia="宋体" w:cs="Times New Roman"/>
                      <w:sz w:val="18"/>
                      <w:szCs w:val="18"/>
                      <w:highlight w:val="none"/>
                      <w:vertAlign w:val="superscript"/>
                      <w:lang w:val="en-US" w:eastAsia="zh-CN"/>
                    </w:rPr>
                    <w:t>2</w:t>
                  </w:r>
                </w:p>
              </w:tc>
            </w:tr>
            <w:tr>
              <w:tblPrEx>
                <w:tblBorders>
                  <w:top w:val="single" w:color="auto" w:sz="12" w:space="0"/>
                  <w:left w:val="none" w:color="auto" w:sz="0" w:space="0"/>
                  <w:bottom w:val="single" w:color="auto" w:sz="12" w:space="0"/>
                  <w:right w:val="none" w:color="auto" w:sz="0" w:space="0"/>
                  <w:insideH w:val="single" w:color="auto" w:sz="8" w:space="0"/>
                  <w:insideV w:val="single" w:color="auto" w:sz="8" w:space="0"/>
                </w:tblBorders>
                <w:tblCellMar>
                  <w:top w:w="0" w:type="dxa"/>
                  <w:left w:w="108" w:type="dxa"/>
                  <w:bottom w:w="0" w:type="dxa"/>
                  <w:right w:w="108" w:type="dxa"/>
                </w:tblCellMar>
              </w:tblPrEx>
              <w:trPr>
                <w:trHeight w:val="160" w:hRule="atLeast"/>
                <w:jc w:val="center"/>
              </w:trPr>
              <w:tc>
                <w:tcPr>
                  <w:tcW w:w="633" w:type="pct"/>
                  <w:vMerge w:val="continue"/>
                  <w:vAlign w:val="center"/>
                </w:tcPr>
                <w:p>
                  <w:pPr>
                    <w:rPr>
                      <w:rFonts w:hint="default" w:ascii="Times New Roman" w:hAnsi="Times New Roman" w:eastAsia="宋体" w:cs="Times New Roman"/>
                      <w:sz w:val="18"/>
                      <w:szCs w:val="18"/>
                    </w:rPr>
                  </w:pPr>
                </w:p>
              </w:tc>
              <w:tc>
                <w:tcPr>
                  <w:tcW w:w="827"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噪声治理</w:t>
                  </w:r>
                </w:p>
              </w:tc>
              <w:tc>
                <w:tcPr>
                  <w:tcW w:w="1976"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选用低噪设备、减振、隔声</w:t>
                  </w:r>
                </w:p>
              </w:tc>
              <w:tc>
                <w:tcPr>
                  <w:tcW w:w="1562" w:type="pct"/>
                  <w:vAlign w:val="center"/>
                </w:tcPr>
                <w:p>
                  <w:pPr>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r>
          </w:tbl>
          <w:p>
            <w:pPr>
              <w:numPr>
                <w:ilvl w:val="0"/>
                <w:numId w:val="5"/>
              </w:numPr>
              <w:snapToGrid w:val="0"/>
              <w:spacing w:before="120" w:beforeLines="50" w:line="360" w:lineRule="auto"/>
              <w:ind w:left="0" w:leftChars="0" w:right="195" w:rightChars="93" w:firstLine="422" w:firstLineChars="200"/>
              <w:rPr>
                <w:rFonts w:hint="default" w:ascii="Times New Roman" w:hAnsi="Times New Roman" w:eastAsia="宋体" w:cs="Times New Roman"/>
                <w:b/>
                <w:bCs/>
                <w:sz w:val="21"/>
                <w:szCs w:val="21"/>
              </w:rPr>
            </w:pPr>
            <w:r>
              <w:rPr>
                <w:rFonts w:hint="default" w:ascii="Times New Roman" w:hAnsi="Times New Roman" w:eastAsia="宋体" w:cs="Times New Roman"/>
                <w:b/>
                <w:sz w:val="21"/>
                <w:szCs w:val="21"/>
              </w:rPr>
              <w:t>原辅料及其理化性质</w:t>
            </w:r>
          </w:p>
          <w:p>
            <w:pPr>
              <w:numPr>
                <w:ilvl w:val="0"/>
                <w:numId w:val="0"/>
              </w:numPr>
              <w:snapToGrid w:val="0"/>
              <w:spacing w:before="120" w:beforeLines="50" w:line="360" w:lineRule="auto"/>
              <w:ind w:right="195" w:rightChars="93" w:firstLine="420" w:firstLineChars="200"/>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主要原辅材料见表2-3</w:t>
            </w:r>
          </w:p>
          <w:p>
            <w:pPr>
              <w:snapToGrid w:val="0"/>
              <w:ind w:firstLine="422" w:firstLineChars="20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表2-3主要原辅材料表</w:t>
            </w:r>
          </w:p>
          <w:tbl>
            <w:tblPr>
              <w:tblStyle w:val="36"/>
              <w:tblW w:w="4994"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995"/>
              <w:gridCol w:w="948"/>
              <w:gridCol w:w="1942"/>
              <w:gridCol w:w="1473"/>
              <w:gridCol w:w="2522"/>
              <w:gridCol w:w="713"/>
              <w:gridCol w:w="71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69" w:hRule="atLeast"/>
                <w:jc w:val="center"/>
              </w:trPr>
              <w:tc>
                <w:tcPr>
                  <w:tcW w:w="534" w:type="pct"/>
                  <w:vAlign w:val="center"/>
                </w:tcPr>
                <w:p>
                  <w:pPr>
                    <w:jc w:val="center"/>
                    <w:rPr>
                      <w:rFonts w:hint="default" w:ascii="Times New Roman" w:hAnsi="Times New Roman" w:eastAsia="宋体" w:cs="Times New Roman"/>
                      <w:b/>
                      <w:bCs/>
                      <w:sz w:val="18"/>
                      <w:szCs w:val="18"/>
                      <w:lang w:eastAsia="zh-CN"/>
                    </w:rPr>
                  </w:pPr>
                  <w:r>
                    <w:rPr>
                      <w:rFonts w:hint="default" w:ascii="Times New Roman" w:hAnsi="Times New Roman" w:eastAsia="宋体" w:cs="Times New Roman"/>
                      <w:b/>
                      <w:bCs/>
                      <w:sz w:val="18"/>
                      <w:szCs w:val="18"/>
                      <w:lang w:val="en-US" w:eastAsia="zh-CN"/>
                    </w:rPr>
                    <w:t>序号</w:t>
                  </w:r>
                </w:p>
              </w:tc>
              <w:tc>
                <w:tcPr>
                  <w:tcW w:w="509"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原料名称</w:t>
                  </w:r>
                </w:p>
              </w:tc>
              <w:tc>
                <w:tcPr>
                  <w:tcW w:w="1043"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规格成分</w:t>
                  </w:r>
                </w:p>
              </w:tc>
              <w:tc>
                <w:tcPr>
                  <w:tcW w:w="791"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年用量</w:t>
                  </w:r>
                </w:p>
              </w:tc>
              <w:tc>
                <w:tcPr>
                  <w:tcW w:w="1354"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最大存储量</w:t>
                  </w:r>
                </w:p>
              </w:tc>
              <w:tc>
                <w:tcPr>
                  <w:tcW w:w="383" w:type="pct"/>
                  <w:vAlign w:val="center"/>
                </w:tcPr>
                <w:p>
                  <w:pPr>
                    <w:jc w:val="center"/>
                    <w:rPr>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lang w:val="en-US" w:eastAsia="zh-CN"/>
                    </w:rPr>
                    <w:t>储存方式</w:t>
                  </w:r>
                </w:p>
              </w:tc>
              <w:tc>
                <w:tcPr>
                  <w:tcW w:w="383"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lang w:val="en-US" w:eastAsia="zh-CN"/>
                    </w:rPr>
                    <w:t>储存位置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51"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w:t>
                  </w:r>
                </w:p>
              </w:tc>
              <w:tc>
                <w:tcPr>
                  <w:tcW w:w="509"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头孢噻呋钠</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头孢</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200支</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16支</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盒装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61"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2</w:t>
                  </w:r>
                </w:p>
              </w:tc>
              <w:tc>
                <w:tcPr>
                  <w:tcW w:w="509"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生理盐水</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500mL/瓶</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3000瓶</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250瓶</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瓶装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3</w:t>
                  </w:r>
                </w:p>
              </w:tc>
              <w:tc>
                <w:tcPr>
                  <w:tcW w:w="509"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葡萄糖</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500mL/瓶</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2800瓶</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233瓶</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瓶装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9"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4</w:t>
                  </w:r>
                </w:p>
              </w:tc>
              <w:tc>
                <w:tcPr>
                  <w:tcW w:w="509"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疫苗</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1份/只</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2542份</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211份</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瓶装、冷藏</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9"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5</w:t>
                  </w:r>
                </w:p>
              </w:tc>
              <w:tc>
                <w:tcPr>
                  <w:tcW w:w="509"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驱虫剂</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1895份</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157份</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瓶装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03"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6</w:t>
                  </w:r>
                </w:p>
              </w:tc>
              <w:tc>
                <w:tcPr>
                  <w:tcW w:w="509"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处方粮</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600包</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50包</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袋装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27"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7</w:t>
                  </w:r>
                </w:p>
              </w:tc>
              <w:tc>
                <w:tcPr>
                  <w:tcW w:w="509" w:type="pct"/>
                  <w:vAlign w:val="center"/>
                </w:tcPr>
                <w:p>
                  <w:pPr>
                    <w:pStyle w:val="132"/>
                    <w:spacing w:before="144"/>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酒精</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500mL/瓶，75%</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248瓶</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20瓶</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瓶装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9"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8</w:t>
                  </w:r>
                </w:p>
              </w:tc>
              <w:tc>
                <w:tcPr>
                  <w:tcW w:w="509"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消毒液</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戊二醛5%、癸甲溴铵5%</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50L</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4L</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盒装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9"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9</w:t>
                  </w:r>
                </w:p>
              </w:tc>
              <w:tc>
                <w:tcPr>
                  <w:tcW w:w="509"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尿片</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80 片/包</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196包</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16包</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袋装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9"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10</w:t>
                  </w:r>
                </w:p>
              </w:tc>
              <w:tc>
                <w:tcPr>
                  <w:tcW w:w="509"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洗液</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3L/瓶</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80瓶</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6瓶</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瓶装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9"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11</w:t>
                  </w:r>
                </w:p>
              </w:tc>
              <w:tc>
                <w:tcPr>
                  <w:tcW w:w="509"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注射器</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5320支</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443支</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盒装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9"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12</w:t>
                  </w:r>
                </w:p>
              </w:tc>
              <w:tc>
                <w:tcPr>
                  <w:tcW w:w="509"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棉球</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400g/包</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300包</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25包</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袋装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9"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13</w:t>
                  </w:r>
                </w:p>
              </w:tc>
              <w:tc>
                <w:tcPr>
                  <w:tcW w:w="509"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纱布块</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400g/包</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100包</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8包</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袋装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9"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14</w:t>
                  </w:r>
                </w:p>
              </w:tc>
              <w:tc>
                <w:tcPr>
                  <w:tcW w:w="509"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输液器</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1800套</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150套</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袋装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9"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15</w:t>
                  </w:r>
                </w:p>
              </w:tc>
              <w:tc>
                <w:tcPr>
                  <w:tcW w:w="509"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氧气瓶</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钢瓶，40L/瓶</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800L</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66L</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瓶装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高压氧舱</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9"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16</w:t>
                  </w:r>
                </w:p>
              </w:tc>
              <w:tc>
                <w:tcPr>
                  <w:tcW w:w="509"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手套</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PE，100 支/包</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90包</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7包</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袋装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9"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17</w:t>
                  </w:r>
                </w:p>
              </w:tc>
              <w:tc>
                <w:tcPr>
                  <w:tcW w:w="509" w:type="pct"/>
                  <w:vAlign w:val="center"/>
                </w:tcPr>
                <w:p>
                  <w:pPr>
                    <w:pStyle w:val="132"/>
                    <w:spacing w:line="298"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ClO2消毒片</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二氧化氯、100 片/瓶</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5瓶</w:t>
                  </w:r>
                </w:p>
              </w:tc>
              <w:tc>
                <w:tcPr>
                  <w:tcW w:w="135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1瓶</w:t>
                  </w:r>
                </w:p>
              </w:tc>
              <w:tc>
                <w:tcPr>
                  <w:tcW w:w="38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瓶装</w:t>
                  </w:r>
                </w:p>
              </w:tc>
              <w:tc>
                <w:tcPr>
                  <w:tcW w:w="383" w:type="pct"/>
                  <w:vAlign w:val="center"/>
                </w:tcPr>
                <w:p>
                  <w:pPr>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9"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18</w:t>
                  </w:r>
                </w:p>
              </w:tc>
              <w:tc>
                <w:tcPr>
                  <w:tcW w:w="509"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溶血素</w:t>
                  </w:r>
                </w:p>
              </w:tc>
              <w:tc>
                <w:tcPr>
                  <w:tcW w:w="1043"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溶血素</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5L</w:t>
                  </w:r>
                </w:p>
              </w:tc>
              <w:tc>
                <w:tcPr>
                  <w:tcW w:w="1354"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1L</w:t>
                  </w:r>
                </w:p>
              </w:tc>
              <w:tc>
                <w:tcPr>
                  <w:tcW w:w="383"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kern w:val="2"/>
                      <w:sz w:val="18"/>
                      <w:szCs w:val="18"/>
                      <w:lang w:val="en-US" w:eastAsia="zh-CN" w:bidi="ar-SA"/>
                    </w:rPr>
                    <w:t>瓶装</w:t>
                  </w:r>
                </w:p>
              </w:tc>
              <w:tc>
                <w:tcPr>
                  <w:tcW w:w="383"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kern w:val="2"/>
                      <w:sz w:val="18"/>
                      <w:szCs w:val="18"/>
                      <w:lang w:val="en-US" w:eastAsia="zh-CN" w:bidi="ar-SA"/>
                    </w:rPr>
                    <w:t>药柜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9" w:hRule="atLeast"/>
                <w:jc w:val="center"/>
              </w:trPr>
              <w:tc>
                <w:tcPr>
                  <w:tcW w:w="534"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19</w:t>
                  </w:r>
                </w:p>
              </w:tc>
              <w:tc>
                <w:tcPr>
                  <w:tcW w:w="509"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血球稀释液</w:t>
                  </w:r>
                </w:p>
              </w:tc>
              <w:tc>
                <w:tcPr>
                  <w:tcW w:w="1043" w:type="pct"/>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稀释液</w:t>
                  </w:r>
                </w:p>
              </w:tc>
              <w:tc>
                <w:tcPr>
                  <w:tcW w:w="791" w:type="pct"/>
                  <w:vAlign w:val="center"/>
                </w:tcPr>
                <w:p>
                  <w:pPr>
                    <w:pStyle w:val="132"/>
                    <w:spacing w:line="267"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200L</w:t>
                  </w:r>
                </w:p>
              </w:tc>
              <w:tc>
                <w:tcPr>
                  <w:tcW w:w="1354" w:type="pct"/>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20L</w:t>
                  </w:r>
                </w:p>
              </w:tc>
              <w:tc>
                <w:tcPr>
                  <w:tcW w:w="383" w:type="pct"/>
                </w:tcPr>
                <w:p>
                  <w:pPr>
                    <w:jc w:val="center"/>
                    <w:rPr>
                      <w:rFonts w:hint="default" w:ascii="Times New Roman" w:hAnsi="Times New Roman" w:eastAsia="宋体" w:cs="Times New Roman"/>
                      <w:sz w:val="18"/>
                      <w:szCs w:val="18"/>
                    </w:rPr>
                  </w:pPr>
                  <w:r>
                    <w:rPr>
                      <w:rFonts w:hint="default" w:ascii="Times New Roman" w:hAnsi="Times New Roman" w:eastAsia="宋体" w:cs="Times New Roman"/>
                      <w:kern w:val="2"/>
                      <w:sz w:val="18"/>
                      <w:szCs w:val="18"/>
                      <w:lang w:val="en-US" w:eastAsia="zh-CN" w:bidi="ar-SA"/>
                    </w:rPr>
                    <w:t>瓶装</w:t>
                  </w:r>
                </w:p>
              </w:tc>
              <w:tc>
                <w:tcPr>
                  <w:tcW w:w="383" w:type="pct"/>
                </w:tcPr>
                <w:p>
                  <w:pPr>
                    <w:jc w:val="center"/>
                    <w:rPr>
                      <w:rFonts w:hint="default" w:ascii="Times New Roman" w:hAnsi="Times New Roman" w:eastAsia="宋体" w:cs="Times New Roman"/>
                      <w:sz w:val="18"/>
                      <w:szCs w:val="18"/>
                    </w:rPr>
                  </w:pPr>
                  <w:r>
                    <w:rPr>
                      <w:rFonts w:hint="default" w:ascii="Times New Roman" w:hAnsi="Times New Roman" w:eastAsia="宋体" w:cs="Times New Roman"/>
                      <w:kern w:val="2"/>
                      <w:sz w:val="18"/>
                      <w:szCs w:val="18"/>
                      <w:lang w:val="en-US" w:eastAsia="zh-CN" w:bidi="ar-SA"/>
                    </w:rPr>
                    <w:t>药柜</w:t>
                  </w:r>
                </w:p>
              </w:tc>
            </w:tr>
          </w:tbl>
          <w:p>
            <w:pPr>
              <w:jc w:val="both"/>
              <w:rPr>
                <w:b/>
                <w:bCs/>
              </w:rPr>
            </w:pPr>
          </w:p>
          <w:p>
            <w:pPr>
              <w:spacing w:before="120" w:beforeLines="50" w:line="276" w:lineRule="auto"/>
              <w:ind w:right="195" w:rightChars="93" w:firstLine="422" w:firstLineChars="20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5.主要设备</w:t>
            </w:r>
          </w:p>
          <w:p>
            <w:pPr>
              <w:spacing w:line="276" w:lineRule="auto"/>
              <w:ind w:right="195" w:rightChars="93"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建设项目主要设备见表2-</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rPr>
              <w:t>。</w:t>
            </w:r>
          </w:p>
          <w:p>
            <w:pPr>
              <w:spacing w:line="276"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表2-</w:t>
            </w:r>
            <w:r>
              <w:rPr>
                <w:rFonts w:hint="default" w:ascii="Times New Roman" w:hAnsi="Times New Roman" w:eastAsia="宋体" w:cs="Times New Roman"/>
                <w:b/>
                <w:bCs/>
                <w:sz w:val="21"/>
                <w:szCs w:val="21"/>
                <w:lang w:val="en-US" w:eastAsia="zh-CN"/>
              </w:rPr>
              <w:t>4</w:t>
            </w:r>
            <w:r>
              <w:rPr>
                <w:rFonts w:hint="default" w:ascii="Times New Roman" w:hAnsi="Times New Roman" w:eastAsia="宋体" w:cs="Times New Roman"/>
                <w:b/>
                <w:bCs/>
                <w:sz w:val="21"/>
                <w:szCs w:val="21"/>
              </w:rPr>
              <w:t>建设项目主要设备表</w:t>
            </w:r>
          </w:p>
          <w:tbl>
            <w:tblPr>
              <w:tblStyle w:val="36"/>
              <w:tblW w:w="4997"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553"/>
              <w:gridCol w:w="3248"/>
              <w:gridCol w:w="1983"/>
              <w:gridCol w:w="1260"/>
              <w:gridCol w:w="126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834" w:type="pct"/>
                  <w:vAlign w:val="center"/>
                </w:tcPr>
                <w:p>
                  <w:pPr>
                    <w:jc w:val="center"/>
                    <w:rPr>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lang w:val="en-US" w:eastAsia="zh-CN"/>
                    </w:rPr>
                    <w:t>序号</w:t>
                  </w:r>
                </w:p>
              </w:tc>
              <w:tc>
                <w:tcPr>
                  <w:tcW w:w="1743"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设备名称</w:t>
                  </w:r>
                </w:p>
              </w:tc>
              <w:tc>
                <w:tcPr>
                  <w:tcW w:w="1064"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规格/型号</w:t>
                  </w:r>
                </w:p>
              </w:tc>
              <w:tc>
                <w:tcPr>
                  <w:tcW w:w="676" w:type="pct"/>
                  <w:vAlign w:val="center"/>
                </w:tcPr>
                <w:p>
                  <w:pPr>
                    <w:jc w:val="center"/>
                    <w:rPr>
                      <w:rFonts w:hint="default" w:ascii="Times New Roman" w:hAnsi="Times New Roman" w:eastAsia="宋体" w:cs="Times New Roman"/>
                      <w:b/>
                      <w:bCs/>
                      <w:sz w:val="18"/>
                      <w:szCs w:val="18"/>
                      <w:lang w:eastAsia="zh-CN"/>
                    </w:rPr>
                  </w:pPr>
                  <w:r>
                    <w:rPr>
                      <w:rFonts w:hint="default" w:ascii="Times New Roman" w:hAnsi="Times New Roman" w:eastAsia="宋体" w:cs="Times New Roman"/>
                      <w:b/>
                      <w:bCs/>
                      <w:sz w:val="18"/>
                      <w:szCs w:val="18"/>
                      <w:lang w:val="en-US" w:eastAsia="zh-CN"/>
                    </w:rPr>
                    <w:t>数量</w:t>
                  </w:r>
                  <w:r>
                    <w:rPr>
                      <w:rFonts w:hint="default" w:ascii="Times New Roman" w:hAnsi="Times New Roman" w:eastAsia="宋体" w:cs="Times New Roman"/>
                      <w:b/>
                      <w:bCs/>
                      <w:sz w:val="18"/>
                      <w:szCs w:val="18"/>
                    </w:rPr>
                    <w:t>（台/套）</w:t>
                  </w:r>
                </w:p>
              </w:tc>
              <w:tc>
                <w:tcPr>
                  <w:tcW w:w="680" w:type="pct"/>
                  <w:vAlign w:val="center"/>
                </w:tcPr>
                <w:p>
                  <w:pPr>
                    <w:jc w:val="center"/>
                    <w:rPr>
                      <w:rFonts w:hint="default" w:ascii="Times New Roman" w:hAnsi="Times New Roman" w:eastAsia="宋体" w:cs="Times New Roman"/>
                      <w:b/>
                      <w:bCs/>
                      <w:sz w:val="18"/>
                      <w:szCs w:val="18"/>
                      <w:lang w:eastAsia="zh-CN"/>
                    </w:rPr>
                  </w:pPr>
                  <w:r>
                    <w:rPr>
                      <w:rFonts w:hint="default" w:ascii="Times New Roman" w:hAnsi="Times New Roman" w:eastAsia="宋体" w:cs="Times New Roman"/>
                      <w:b/>
                      <w:bCs/>
                      <w:sz w:val="18"/>
                      <w:szCs w:val="18"/>
                      <w:lang w:val="en-US" w:eastAsia="zh-CN"/>
                    </w:rPr>
                    <w:t>备注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4" w:hRule="atLeast"/>
                <w:jc w:val="center"/>
              </w:trPr>
              <w:tc>
                <w:tcPr>
                  <w:tcW w:w="83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w:t>
                  </w:r>
                </w:p>
              </w:tc>
              <w:tc>
                <w:tcPr>
                  <w:tcW w:w="1743"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MRI</w:t>
                  </w:r>
                </w:p>
              </w:tc>
              <w:tc>
                <w:tcPr>
                  <w:tcW w:w="1064"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Panion0.3T</w:t>
                  </w:r>
                </w:p>
              </w:tc>
              <w:tc>
                <w:tcPr>
                  <w:tcW w:w="676" w:type="pct"/>
                  <w:vAlign w:val="center"/>
                </w:tcPr>
                <w:p>
                  <w:pPr>
                    <w:pStyle w:val="132"/>
                    <w:spacing w:before="35"/>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1</w:t>
                  </w:r>
                </w:p>
              </w:tc>
              <w:tc>
                <w:tcPr>
                  <w:tcW w:w="680" w:type="pct"/>
                  <w:vAlign w:val="center"/>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5" w:hRule="atLeast"/>
                <w:jc w:val="center"/>
              </w:trPr>
              <w:tc>
                <w:tcPr>
                  <w:tcW w:w="83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2</w:t>
                  </w:r>
                </w:p>
              </w:tc>
              <w:tc>
                <w:tcPr>
                  <w:tcW w:w="1743"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CT</w:t>
                  </w:r>
                </w:p>
              </w:tc>
              <w:tc>
                <w:tcPr>
                  <w:tcW w:w="1064"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PetcareCT 388</w:t>
                  </w:r>
                </w:p>
              </w:tc>
              <w:tc>
                <w:tcPr>
                  <w:tcW w:w="676" w:type="pct"/>
                  <w:vAlign w:val="center"/>
                </w:tcPr>
                <w:p>
                  <w:pPr>
                    <w:pStyle w:val="132"/>
                    <w:spacing w:before="35"/>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1</w:t>
                  </w:r>
                </w:p>
              </w:tc>
              <w:tc>
                <w:tcPr>
                  <w:tcW w:w="680" w:type="pct"/>
                  <w:vAlign w:val="center"/>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1" w:hRule="atLeast"/>
                <w:jc w:val="center"/>
              </w:trPr>
              <w:tc>
                <w:tcPr>
                  <w:tcW w:w="83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3</w:t>
                  </w:r>
                </w:p>
              </w:tc>
              <w:tc>
                <w:tcPr>
                  <w:tcW w:w="1743"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DR机器</w:t>
                  </w:r>
                </w:p>
              </w:tc>
              <w:tc>
                <w:tcPr>
                  <w:tcW w:w="1064"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悦影1.0—DR</w:t>
                  </w:r>
                </w:p>
              </w:tc>
              <w:tc>
                <w:tcPr>
                  <w:tcW w:w="676" w:type="pct"/>
                  <w:vAlign w:val="center"/>
                </w:tcPr>
                <w:p>
                  <w:pPr>
                    <w:pStyle w:val="132"/>
                    <w:spacing w:before="35"/>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1</w:t>
                  </w:r>
                </w:p>
              </w:tc>
              <w:tc>
                <w:tcPr>
                  <w:tcW w:w="680" w:type="pct"/>
                  <w:vAlign w:val="center"/>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3" w:hRule="atLeast"/>
                <w:jc w:val="center"/>
              </w:trPr>
              <w:tc>
                <w:tcPr>
                  <w:tcW w:w="83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4</w:t>
                  </w:r>
                </w:p>
              </w:tc>
              <w:tc>
                <w:tcPr>
                  <w:tcW w:w="1743"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监护仪</w:t>
                  </w:r>
                </w:p>
              </w:tc>
              <w:tc>
                <w:tcPr>
                  <w:tcW w:w="1064"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c>
                <w:tcPr>
                  <w:tcW w:w="676" w:type="pct"/>
                  <w:vAlign w:val="center"/>
                </w:tcPr>
                <w:p>
                  <w:pPr>
                    <w:pStyle w:val="132"/>
                    <w:spacing w:before="35"/>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4</w:t>
                  </w:r>
                </w:p>
              </w:tc>
              <w:tc>
                <w:tcPr>
                  <w:tcW w:w="680" w:type="pct"/>
                  <w:vAlign w:val="center"/>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01" w:hRule="atLeast"/>
                <w:jc w:val="center"/>
              </w:trPr>
              <w:tc>
                <w:tcPr>
                  <w:tcW w:w="83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5</w:t>
                  </w:r>
                </w:p>
              </w:tc>
              <w:tc>
                <w:tcPr>
                  <w:tcW w:w="1743"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生化机器</w:t>
                  </w:r>
                </w:p>
              </w:tc>
              <w:tc>
                <w:tcPr>
                  <w:tcW w:w="1064"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爱德士</w:t>
                  </w:r>
                </w:p>
              </w:tc>
              <w:tc>
                <w:tcPr>
                  <w:tcW w:w="676" w:type="pct"/>
                  <w:vAlign w:val="center"/>
                </w:tcPr>
                <w:p>
                  <w:pPr>
                    <w:pStyle w:val="132"/>
                    <w:spacing w:before="35"/>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1</w:t>
                  </w:r>
                </w:p>
              </w:tc>
              <w:tc>
                <w:tcPr>
                  <w:tcW w:w="680" w:type="pct"/>
                  <w:vAlign w:val="center"/>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6" w:hRule="atLeast"/>
                <w:jc w:val="center"/>
              </w:trPr>
              <w:tc>
                <w:tcPr>
                  <w:tcW w:w="83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6</w:t>
                  </w:r>
                </w:p>
              </w:tc>
              <w:tc>
                <w:tcPr>
                  <w:tcW w:w="1743"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血常规</w:t>
                  </w:r>
                </w:p>
              </w:tc>
              <w:tc>
                <w:tcPr>
                  <w:tcW w:w="1064"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瑞沃德</w:t>
                  </w:r>
                </w:p>
              </w:tc>
              <w:tc>
                <w:tcPr>
                  <w:tcW w:w="676" w:type="pct"/>
                  <w:vAlign w:val="center"/>
                </w:tcPr>
                <w:p>
                  <w:pPr>
                    <w:pStyle w:val="132"/>
                    <w:spacing w:before="35"/>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1</w:t>
                  </w:r>
                </w:p>
              </w:tc>
              <w:tc>
                <w:tcPr>
                  <w:tcW w:w="680" w:type="pct"/>
                  <w:vAlign w:val="center"/>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41" w:hRule="atLeast"/>
                <w:jc w:val="center"/>
              </w:trPr>
              <w:tc>
                <w:tcPr>
                  <w:tcW w:w="83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7</w:t>
                  </w:r>
                </w:p>
              </w:tc>
              <w:tc>
                <w:tcPr>
                  <w:tcW w:w="1743"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免疫检测仪</w:t>
                  </w:r>
                </w:p>
              </w:tc>
              <w:tc>
                <w:tcPr>
                  <w:tcW w:w="1064"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斯玛特</w:t>
                  </w:r>
                </w:p>
              </w:tc>
              <w:tc>
                <w:tcPr>
                  <w:tcW w:w="676" w:type="pct"/>
                  <w:vAlign w:val="center"/>
                </w:tcPr>
                <w:p>
                  <w:pPr>
                    <w:pStyle w:val="132"/>
                    <w:spacing w:before="35"/>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2</w:t>
                  </w:r>
                </w:p>
              </w:tc>
              <w:tc>
                <w:tcPr>
                  <w:tcW w:w="680" w:type="pct"/>
                  <w:vAlign w:val="center"/>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 w:hRule="atLeast"/>
                <w:jc w:val="center"/>
              </w:trPr>
              <w:tc>
                <w:tcPr>
                  <w:tcW w:w="83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8</w:t>
                  </w:r>
                </w:p>
              </w:tc>
              <w:tc>
                <w:tcPr>
                  <w:tcW w:w="1743"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显微镜</w:t>
                  </w:r>
                </w:p>
              </w:tc>
              <w:tc>
                <w:tcPr>
                  <w:tcW w:w="1064"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莱卡</w:t>
                  </w:r>
                </w:p>
              </w:tc>
              <w:tc>
                <w:tcPr>
                  <w:tcW w:w="676" w:type="pct"/>
                  <w:vAlign w:val="center"/>
                </w:tcPr>
                <w:p>
                  <w:pPr>
                    <w:pStyle w:val="132"/>
                    <w:spacing w:before="35"/>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2</w:t>
                  </w:r>
                </w:p>
              </w:tc>
              <w:tc>
                <w:tcPr>
                  <w:tcW w:w="680" w:type="pct"/>
                  <w:vAlign w:val="center"/>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6" w:hRule="atLeast"/>
                <w:jc w:val="center"/>
              </w:trPr>
              <w:tc>
                <w:tcPr>
                  <w:tcW w:w="83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9</w:t>
                  </w:r>
                </w:p>
              </w:tc>
              <w:tc>
                <w:tcPr>
                  <w:tcW w:w="1743"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无影灯</w:t>
                  </w:r>
                </w:p>
              </w:tc>
              <w:tc>
                <w:tcPr>
                  <w:tcW w:w="1064"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 xml:space="preserve">/                                                                                       </w:t>
                  </w:r>
                </w:p>
              </w:tc>
              <w:tc>
                <w:tcPr>
                  <w:tcW w:w="676" w:type="pct"/>
                  <w:vAlign w:val="center"/>
                </w:tcPr>
                <w:p>
                  <w:pPr>
                    <w:pStyle w:val="132"/>
                    <w:spacing w:before="35"/>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3</w:t>
                  </w:r>
                </w:p>
              </w:tc>
              <w:tc>
                <w:tcPr>
                  <w:tcW w:w="680" w:type="pct"/>
                  <w:vAlign w:val="center"/>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41" w:hRule="atLeast"/>
                <w:jc w:val="center"/>
              </w:trPr>
              <w:tc>
                <w:tcPr>
                  <w:tcW w:w="83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10</w:t>
                  </w:r>
                </w:p>
              </w:tc>
              <w:tc>
                <w:tcPr>
                  <w:tcW w:w="1743"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消毒池</w:t>
                  </w:r>
                </w:p>
              </w:tc>
              <w:tc>
                <w:tcPr>
                  <w:tcW w:w="1064"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丁丁</w:t>
                  </w:r>
                </w:p>
              </w:tc>
              <w:tc>
                <w:tcPr>
                  <w:tcW w:w="676" w:type="pct"/>
                  <w:vAlign w:val="center"/>
                </w:tcPr>
                <w:p>
                  <w:pPr>
                    <w:pStyle w:val="132"/>
                    <w:spacing w:before="35"/>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2</w:t>
                  </w:r>
                </w:p>
              </w:tc>
              <w:tc>
                <w:tcPr>
                  <w:tcW w:w="680" w:type="pct"/>
                  <w:vAlign w:val="center"/>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63" w:hRule="atLeast"/>
                <w:jc w:val="center"/>
              </w:trPr>
              <w:tc>
                <w:tcPr>
                  <w:tcW w:w="83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11</w:t>
                  </w:r>
                </w:p>
              </w:tc>
              <w:tc>
                <w:tcPr>
                  <w:tcW w:w="1743"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高压灭菌器</w:t>
                  </w:r>
                </w:p>
              </w:tc>
              <w:tc>
                <w:tcPr>
                  <w:tcW w:w="1064"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c>
                <w:tcPr>
                  <w:tcW w:w="676" w:type="pct"/>
                  <w:vAlign w:val="center"/>
                </w:tcPr>
                <w:p>
                  <w:pPr>
                    <w:pStyle w:val="132"/>
                    <w:spacing w:before="35"/>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1</w:t>
                  </w:r>
                </w:p>
              </w:tc>
              <w:tc>
                <w:tcPr>
                  <w:tcW w:w="680" w:type="pct"/>
                  <w:vAlign w:val="center"/>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94" w:hRule="atLeast"/>
                <w:jc w:val="center"/>
              </w:trPr>
              <w:tc>
                <w:tcPr>
                  <w:tcW w:w="83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12</w:t>
                  </w:r>
                </w:p>
              </w:tc>
              <w:tc>
                <w:tcPr>
                  <w:tcW w:w="1743" w:type="pct"/>
                  <w:vAlign w:val="center"/>
                </w:tcPr>
                <w:p>
                  <w:pPr>
                    <w:pStyle w:val="132"/>
                    <w:spacing w:line="263"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空调</w:t>
                  </w:r>
                </w:p>
              </w:tc>
              <w:tc>
                <w:tcPr>
                  <w:tcW w:w="106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c>
                <w:tcPr>
                  <w:tcW w:w="676" w:type="pct"/>
                  <w:vAlign w:val="center"/>
                </w:tcPr>
                <w:p>
                  <w:pPr>
                    <w:pStyle w:val="132"/>
                    <w:spacing w:before="35"/>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2</w:t>
                  </w:r>
                </w:p>
              </w:tc>
              <w:tc>
                <w:tcPr>
                  <w:tcW w:w="680" w:type="pct"/>
                  <w:vAlign w:val="center"/>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41" w:hRule="atLeast"/>
                <w:jc w:val="center"/>
              </w:trPr>
              <w:tc>
                <w:tcPr>
                  <w:tcW w:w="83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13</w:t>
                  </w:r>
                </w:p>
              </w:tc>
              <w:tc>
                <w:tcPr>
                  <w:tcW w:w="1743" w:type="pct"/>
                  <w:vAlign w:val="center"/>
                </w:tcPr>
                <w:p>
                  <w:pPr>
                    <w:pStyle w:val="132"/>
                    <w:spacing w:before="51"/>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高压氧舱</w:t>
                  </w:r>
                </w:p>
              </w:tc>
              <w:tc>
                <w:tcPr>
                  <w:tcW w:w="106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c>
                <w:tcPr>
                  <w:tcW w:w="676" w:type="pct"/>
                  <w:vAlign w:val="center"/>
                </w:tcPr>
                <w:p>
                  <w:pPr>
                    <w:pStyle w:val="132"/>
                    <w:spacing w:before="98"/>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1</w:t>
                  </w:r>
                </w:p>
              </w:tc>
              <w:tc>
                <w:tcPr>
                  <w:tcW w:w="680" w:type="pct"/>
                  <w:vAlign w:val="center"/>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65" w:hRule="atLeast"/>
                <w:jc w:val="center"/>
              </w:trPr>
              <w:tc>
                <w:tcPr>
                  <w:tcW w:w="834" w:type="pct"/>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14</w:t>
                  </w:r>
                </w:p>
              </w:tc>
              <w:tc>
                <w:tcPr>
                  <w:tcW w:w="1743" w:type="pct"/>
                  <w:vAlign w:val="center"/>
                </w:tcPr>
                <w:p>
                  <w:pPr>
                    <w:pStyle w:val="132"/>
                    <w:spacing w:before="51"/>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急诊ICU</w:t>
                  </w:r>
                </w:p>
              </w:tc>
              <w:tc>
                <w:tcPr>
                  <w:tcW w:w="106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c>
                <w:tcPr>
                  <w:tcW w:w="676" w:type="pct"/>
                  <w:vAlign w:val="center"/>
                </w:tcPr>
                <w:p>
                  <w:pPr>
                    <w:pStyle w:val="132"/>
                    <w:spacing w:before="98"/>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1</w:t>
                  </w:r>
                </w:p>
              </w:tc>
              <w:tc>
                <w:tcPr>
                  <w:tcW w:w="680" w:type="pct"/>
                  <w:vAlign w:val="center"/>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5" w:hRule="atLeast"/>
                <w:jc w:val="center"/>
              </w:trPr>
              <w:tc>
                <w:tcPr>
                  <w:tcW w:w="83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15</w:t>
                  </w:r>
                </w:p>
              </w:tc>
              <w:tc>
                <w:tcPr>
                  <w:tcW w:w="1743" w:type="pct"/>
                  <w:vAlign w:val="center"/>
                </w:tcPr>
                <w:p>
                  <w:pPr>
                    <w:pStyle w:val="132"/>
                    <w:spacing w:before="51"/>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手术台</w:t>
                  </w:r>
                </w:p>
              </w:tc>
              <w:tc>
                <w:tcPr>
                  <w:tcW w:w="1064" w:type="pct"/>
                  <w:vAlign w:val="center"/>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c>
                <w:tcPr>
                  <w:tcW w:w="676" w:type="pct"/>
                  <w:vAlign w:val="center"/>
                </w:tcPr>
                <w:p>
                  <w:pPr>
                    <w:pStyle w:val="132"/>
                    <w:spacing w:before="98"/>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2</w:t>
                  </w:r>
                </w:p>
              </w:tc>
              <w:tc>
                <w:tcPr>
                  <w:tcW w:w="680" w:type="pct"/>
                  <w:vAlign w:val="center"/>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5" w:hRule="atLeast"/>
                <w:jc w:val="center"/>
              </w:trPr>
              <w:tc>
                <w:tcPr>
                  <w:tcW w:w="0" w:type="auto"/>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16</w:t>
                  </w:r>
                </w:p>
              </w:tc>
              <w:tc>
                <w:tcPr>
                  <w:tcW w:w="0" w:type="auto"/>
                  <w:vAlign w:val="center"/>
                </w:tcPr>
                <w:p>
                  <w:pPr>
                    <w:pStyle w:val="132"/>
                    <w:spacing w:before="51"/>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手术刀</w:t>
                  </w:r>
                </w:p>
              </w:tc>
              <w:tc>
                <w:tcPr>
                  <w:tcW w:w="0" w:type="auto"/>
                </w:tcPr>
                <w:p>
                  <w:pPr>
                    <w:pStyle w:val="132"/>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c>
                <w:tcPr>
                  <w:tcW w:w="0" w:type="auto"/>
                  <w:vAlign w:val="center"/>
                </w:tcPr>
                <w:p>
                  <w:pPr>
                    <w:pStyle w:val="132"/>
                    <w:spacing w:before="98"/>
                    <w:jc w:val="center"/>
                    <w:rPr>
                      <w:rFonts w:hint="default" w:ascii="Times New Roman" w:hAnsi="Times New Roman" w:eastAsia="宋体" w:cs="Times New Roman"/>
                      <w:kern w:val="2"/>
                      <w:sz w:val="18"/>
                      <w:szCs w:val="18"/>
                      <w:lang w:val="en-US" w:eastAsia="zh-CN" w:bidi="ar-SA"/>
                      <w14:ligatures w14:val="none"/>
                    </w:rPr>
                  </w:pPr>
                  <w:r>
                    <w:rPr>
                      <w:rFonts w:hint="default" w:ascii="Times New Roman" w:hAnsi="Times New Roman" w:eastAsia="宋体" w:cs="Times New Roman"/>
                      <w:kern w:val="2"/>
                      <w:sz w:val="18"/>
                      <w:szCs w:val="18"/>
                      <w:lang w:val="en-US" w:eastAsia="zh-CN" w:bidi="ar-SA"/>
                    </w:rPr>
                    <w:t>5</w:t>
                  </w:r>
                </w:p>
              </w:tc>
              <w:tc>
                <w:tcPr>
                  <w:tcW w:w="0" w:type="auto"/>
                </w:tcPr>
                <w:p>
                  <w:pPr>
                    <w:spacing w:line="279" w:lineRule="exact"/>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bidi="ar-SA"/>
                    </w:rPr>
                    <w:t>/</w:t>
                  </w:r>
                </w:p>
              </w:tc>
            </w:tr>
          </w:tbl>
          <w:p>
            <w:pPr>
              <w:spacing w:line="360" w:lineRule="auto"/>
              <w:ind w:firstLine="422" w:firstLineChars="20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6.项目给水平衡</w:t>
            </w:r>
          </w:p>
          <w:p>
            <w:pPr>
              <w:wordWrap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建设项目总用水为</w:t>
            </w:r>
            <w:r>
              <w:rPr>
                <w:rFonts w:hint="default" w:ascii="Times New Roman" w:hAnsi="Times New Roman" w:eastAsia="宋体" w:cs="Times New Roman"/>
                <w:sz w:val="21"/>
                <w:szCs w:val="21"/>
                <w:highlight w:val="none"/>
                <w:lang w:val="en-US" w:eastAsia="zh-CN"/>
              </w:rPr>
              <w:t>916.7t/a</w:t>
            </w:r>
            <w:r>
              <w:rPr>
                <w:rFonts w:hint="default" w:ascii="Times New Roman" w:hAnsi="Times New Roman" w:eastAsia="宋体" w:cs="Times New Roman"/>
                <w:sz w:val="21"/>
                <w:szCs w:val="21"/>
                <w:lang w:val="en-US" w:eastAsia="zh-CN"/>
              </w:rPr>
              <w:t>，分别为</w:t>
            </w:r>
            <w:r>
              <w:rPr>
                <w:rFonts w:hint="default" w:ascii="Times New Roman" w:hAnsi="Times New Roman" w:eastAsia="宋体" w:cs="Times New Roman"/>
                <w:sz w:val="21"/>
                <w:szCs w:val="21"/>
              </w:rPr>
              <w:t>生活用水</w:t>
            </w:r>
            <w:r>
              <w:rPr>
                <w:rFonts w:hint="default" w:ascii="Times New Roman" w:hAnsi="Times New Roman" w:eastAsia="宋体" w:cs="Times New Roman"/>
                <w:sz w:val="21"/>
                <w:szCs w:val="21"/>
                <w:lang w:val="en-US" w:eastAsia="zh-CN"/>
              </w:rPr>
              <w:t>660t/a（</w:t>
            </w:r>
            <w:r>
              <w:rPr>
                <w:rFonts w:hint="default" w:ascii="Times New Roman" w:hAnsi="Times New Roman" w:eastAsia="宋体" w:cs="Times New Roman"/>
                <w:sz w:val="21"/>
                <w:szCs w:val="21"/>
              </w:rPr>
              <w:t>按照每人每天0.1t计，年工作</w:t>
            </w:r>
            <w:r>
              <w:rPr>
                <w:rFonts w:hint="default" w:ascii="Times New Roman" w:hAnsi="Times New Roman" w:eastAsia="宋体" w:cs="Times New Roman"/>
                <w:sz w:val="21"/>
                <w:szCs w:val="21"/>
                <w:lang w:val="en-US" w:eastAsia="zh-CN"/>
              </w:rPr>
              <w:t>330</w:t>
            </w:r>
            <w:r>
              <w:rPr>
                <w:rFonts w:hint="default" w:ascii="Times New Roman" w:hAnsi="Times New Roman" w:eastAsia="宋体" w:cs="Times New Roman"/>
                <w:sz w:val="21"/>
                <w:szCs w:val="21"/>
              </w:rPr>
              <w:t>天，生活用水量为</w:t>
            </w:r>
            <w:r>
              <w:rPr>
                <w:rFonts w:hint="default" w:ascii="Times New Roman" w:hAnsi="Times New Roman" w:eastAsia="宋体" w:cs="Times New Roman"/>
                <w:sz w:val="21"/>
                <w:szCs w:val="21"/>
                <w:lang w:val="en-US" w:eastAsia="zh-CN"/>
              </w:rPr>
              <w:t>0.1t×20人×330天=660t/a）</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医疗用水79.2t/a，洗浴用水175t/a，消毒液配置用水2.5t/a，均来自当地自来水管网。</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（1）生活用水</w:t>
            </w:r>
          </w:p>
          <w:p>
            <w:pPr>
              <w:wordWrap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本项目劳动定员</w:t>
            </w:r>
            <w:r>
              <w:rPr>
                <w:rFonts w:hint="default" w:ascii="Times New Roman" w:hAnsi="Times New Roman" w:eastAsia="宋体" w:cs="Times New Roman"/>
                <w:sz w:val="21"/>
                <w:szCs w:val="21"/>
                <w:lang w:val="en-US" w:eastAsia="zh-CN"/>
              </w:rPr>
              <w:t>20</w:t>
            </w:r>
            <w:r>
              <w:rPr>
                <w:rFonts w:hint="default" w:ascii="Times New Roman" w:hAnsi="Times New Roman" w:eastAsia="宋体" w:cs="Times New Roman"/>
                <w:sz w:val="21"/>
                <w:szCs w:val="21"/>
              </w:rPr>
              <w:t>人，根据《苏州市农林牧渔业、工业、服务业和生活用水定额(2021年修订)》中的相关用水定额，生活用水按照每人每天0.1t计，年工作</w:t>
            </w:r>
            <w:r>
              <w:rPr>
                <w:rFonts w:hint="default" w:ascii="Times New Roman" w:hAnsi="Times New Roman" w:eastAsia="宋体" w:cs="Times New Roman"/>
                <w:sz w:val="21"/>
                <w:szCs w:val="21"/>
                <w:lang w:val="en-US" w:eastAsia="zh-CN"/>
              </w:rPr>
              <w:t>330</w:t>
            </w:r>
            <w:r>
              <w:rPr>
                <w:rFonts w:hint="default" w:ascii="Times New Roman" w:hAnsi="Times New Roman" w:eastAsia="宋体" w:cs="Times New Roman"/>
                <w:sz w:val="21"/>
                <w:szCs w:val="21"/>
              </w:rPr>
              <w:t>天，生活用水量为</w:t>
            </w:r>
            <w:r>
              <w:rPr>
                <w:rFonts w:hint="default" w:ascii="Times New Roman" w:hAnsi="Times New Roman" w:eastAsia="宋体" w:cs="Times New Roman"/>
                <w:sz w:val="21"/>
                <w:szCs w:val="21"/>
                <w:lang w:val="en-US" w:eastAsia="zh-CN"/>
              </w:rPr>
              <w:t>0.1t×20人×330天=660t/a</w:t>
            </w:r>
            <w:r>
              <w:rPr>
                <w:rFonts w:hint="default" w:ascii="Times New Roman" w:hAnsi="Times New Roman" w:eastAsia="宋体" w:cs="Times New Roman"/>
                <w:sz w:val="21"/>
                <w:szCs w:val="21"/>
              </w:rPr>
              <w:t>。生活污水产生量按</w:t>
            </w:r>
            <w:r>
              <w:rPr>
                <w:rFonts w:hint="default" w:ascii="Times New Roman" w:hAnsi="Times New Roman" w:eastAsia="宋体" w:cs="Times New Roman"/>
                <w:sz w:val="21"/>
                <w:szCs w:val="21"/>
                <w:lang w:val="en-US" w:eastAsia="zh-CN"/>
              </w:rPr>
              <w:t>9</w:t>
            </w:r>
            <w:r>
              <w:rPr>
                <w:rFonts w:hint="default" w:ascii="Times New Roman" w:hAnsi="Times New Roman" w:eastAsia="宋体" w:cs="Times New Roman"/>
                <w:sz w:val="21"/>
                <w:szCs w:val="21"/>
              </w:rPr>
              <w:t>0%计，则本项目生活污水产生量为</w:t>
            </w:r>
            <w:r>
              <w:rPr>
                <w:rFonts w:hint="default" w:ascii="Times New Roman" w:hAnsi="Times New Roman" w:eastAsia="宋体" w:cs="Times New Roman"/>
                <w:sz w:val="21"/>
                <w:szCs w:val="21"/>
                <w:lang w:val="en-US" w:eastAsia="zh-CN"/>
              </w:rPr>
              <w:t>594</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3</w:t>
            </w:r>
            <w:r>
              <w:rPr>
                <w:rFonts w:hint="default" w:ascii="Times New Roman" w:hAnsi="Times New Roman" w:eastAsia="宋体" w:cs="Times New Roman"/>
                <w:sz w:val="21"/>
                <w:szCs w:val="21"/>
              </w:rPr>
              <w:t>/a(</w:t>
            </w:r>
            <w:r>
              <w:rPr>
                <w:rFonts w:hint="default" w:ascii="Times New Roman" w:hAnsi="Times New Roman" w:eastAsia="宋体" w:cs="Times New Roman"/>
                <w:sz w:val="21"/>
                <w:szCs w:val="21"/>
                <w:lang w:val="en-US" w:eastAsia="zh-CN"/>
              </w:rPr>
              <w:t>1.8</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3</w:t>
            </w:r>
            <w:r>
              <w:rPr>
                <w:rFonts w:hint="default" w:ascii="Times New Roman" w:hAnsi="Times New Roman" w:eastAsia="宋体" w:cs="Times New Roman"/>
                <w:sz w:val="21"/>
                <w:szCs w:val="21"/>
              </w:rPr>
              <w:t>/d)。生活污水中的主要污染物和浓度产生情况</w:t>
            </w:r>
            <w:r>
              <w:rPr>
                <w:rFonts w:hint="default" w:ascii="Times New Roman" w:hAnsi="Times New Roman" w:eastAsia="宋体" w:cs="Times New Roman"/>
                <w:sz w:val="21"/>
                <w:szCs w:val="21"/>
                <w:highlight w:val="none"/>
              </w:rPr>
              <w:t>为COD400mg/L，SS200mg/L，氨氮25mg/L，总磷4mg/L，总氮40mg/L，经</w:t>
            </w:r>
            <w:r>
              <w:rPr>
                <w:rFonts w:hint="default" w:ascii="Times New Roman" w:hAnsi="Times New Roman" w:eastAsia="宋体" w:cs="Times New Roman"/>
                <w:sz w:val="21"/>
                <w:szCs w:val="21"/>
              </w:rPr>
              <w:t>化粪池预处理后由市政管网接管至城东污水处理厂集中处理</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尾水排入新浏河。</w:t>
            </w:r>
          </w:p>
          <w:p>
            <w:pPr>
              <w:autoSpaceDE w:val="0"/>
              <w:autoSpaceDN w:val="0"/>
              <w:adjustRightInd w:val="0"/>
              <w:spacing w:line="360" w:lineRule="auto"/>
              <w:ind w:firstLine="420" w:firstLineChars="200"/>
              <w:jc w:val="left"/>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rPr>
              <w:t>（2）</w:t>
            </w:r>
            <w:r>
              <w:rPr>
                <w:rFonts w:hint="default" w:ascii="Times New Roman" w:hAnsi="Times New Roman" w:eastAsia="宋体" w:cs="Times New Roman"/>
                <w:sz w:val="21"/>
                <w:szCs w:val="21"/>
                <w:highlight w:val="none"/>
                <w:lang w:val="en-US" w:eastAsia="zh-CN"/>
              </w:rPr>
              <w:t>医疗用水</w:t>
            </w:r>
          </w:p>
          <w:p>
            <w:pPr>
              <w:wordWrap w:val="0"/>
              <w:spacing w:line="360" w:lineRule="auto"/>
              <w:ind w:firstLine="420" w:firstLineChars="200"/>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rPr>
              <w:t>医疗废水主要为动物就诊、手术及清洗医疗器具时产生的废水，医疗用水量依据《建筑给水排水设计规范》（GB50015-20</w:t>
            </w:r>
            <w:r>
              <w:rPr>
                <w:rFonts w:hint="default" w:ascii="Times New Roman" w:hAnsi="Times New Roman" w:eastAsia="宋体" w:cs="Times New Roman"/>
                <w:sz w:val="21"/>
                <w:szCs w:val="21"/>
                <w:lang w:val="en-US" w:eastAsia="zh-CN"/>
              </w:rPr>
              <w:t>19</w:t>
            </w:r>
            <w:r>
              <w:rPr>
                <w:rFonts w:hint="default" w:ascii="Times New Roman" w:hAnsi="Times New Roman" w:eastAsia="宋体" w:cs="Times New Roman"/>
                <w:sz w:val="21"/>
                <w:szCs w:val="21"/>
              </w:rPr>
              <w:t>）中的相关数据计算，按</w:t>
            </w:r>
            <w:r>
              <w:rPr>
                <w:rFonts w:hint="default" w:ascii="Times New Roman" w:hAnsi="Times New Roman" w:eastAsia="宋体" w:cs="Times New Roman"/>
                <w:sz w:val="21"/>
                <w:szCs w:val="21"/>
                <w:lang w:val="en-US" w:eastAsia="zh-CN"/>
              </w:rPr>
              <w:t>0.02t</w:t>
            </w:r>
            <w:r>
              <w:rPr>
                <w:rFonts w:hint="default" w:ascii="Times New Roman" w:hAnsi="Times New Roman" w:eastAsia="宋体" w:cs="Times New Roman"/>
                <w:sz w:val="21"/>
                <w:szCs w:val="21"/>
              </w:rPr>
              <w:t>/只计算（包含手术中与手术后医疗器具清洗水），接诊动物量</w:t>
            </w:r>
            <w:r>
              <w:rPr>
                <w:rFonts w:hint="default" w:ascii="Times New Roman" w:hAnsi="Times New Roman" w:eastAsia="宋体" w:cs="Times New Roman"/>
                <w:sz w:val="21"/>
                <w:szCs w:val="21"/>
                <w:lang w:val="en-US" w:eastAsia="zh-CN"/>
              </w:rPr>
              <w:t>12</w:t>
            </w:r>
            <w:r>
              <w:rPr>
                <w:rFonts w:hint="default" w:ascii="Times New Roman" w:hAnsi="Times New Roman" w:eastAsia="宋体" w:cs="Times New Roman"/>
                <w:sz w:val="21"/>
                <w:szCs w:val="21"/>
              </w:rPr>
              <w:t>只/天，年工作</w:t>
            </w:r>
            <w:r>
              <w:rPr>
                <w:rFonts w:hint="default" w:ascii="Times New Roman" w:hAnsi="Times New Roman" w:eastAsia="宋体" w:cs="Times New Roman"/>
                <w:sz w:val="21"/>
                <w:szCs w:val="21"/>
                <w:lang w:val="en-US" w:eastAsia="zh-CN"/>
              </w:rPr>
              <w:t>330</w:t>
            </w:r>
            <w:r>
              <w:rPr>
                <w:rFonts w:hint="default" w:ascii="Times New Roman" w:hAnsi="Times New Roman" w:eastAsia="宋体" w:cs="Times New Roman"/>
                <w:sz w:val="21"/>
                <w:szCs w:val="21"/>
              </w:rPr>
              <w:t>天，</w:t>
            </w:r>
            <w:r>
              <w:rPr>
                <w:rFonts w:hint="default" w:ascii="Times New Roman" w:hAnsi="Times New Roman" w:eastAsia="宋体" w:cs="Times New Roman"/>
                <w:sz w:val="21"/>
                <w:szCs w:val="21"/>
                <w:lang w:val="en-US" w:eastAsia="zh-CN"/>
              </w:rPr>
              <w:t>医疗用水</w:t>
            </w:r>
            <w:r>
              <w:rPr>
                <w:rFonts w:hint="default" w:ascii="Times New Roman" w:hAnsi="Times New Roman" w:eastAsia="宋体" w:cs="Times New Roman"/>
                <w:sz w:val="21"/>
                <w:szCs w:val="21"/>
              </w:rPr>
              <w:t>量</w:t>
            </w:r>
            <w:r>
              <w:rPr>
                <w:rFonts w:hint="default" w:ascii="Times New Roman" w:hAnsi="Times New Roman" w:eastAsia="宋体" w:cs="Times New Roman"/>
                <w:sz w:val="21"/>
                <w:szCs w:val="21"/>
                <w:lang w:val="en-US" w:eastAsia="zh-CN"/>
              </w:rPr>
              <w:t>为12</w:t>
            </w:r>
            <w:r>
              <w:rPr>
                <w:rFonts w:hint="default" w:ascii="Times New Roman" w:hAnsi="Times New Roman" w:eastAsia="宋体" w:cs="Times New Roman"/>
                <w:sz w:val="21"/>
                <w:szCs w:val="21"/>
              </w:rPr>
              <w:t>只/天</w:t>
            </w:r>
            <w:r>
              <w:rPr>
                <w:rFonts w:hint="default" w:ascii="Times New Roman" w:hAnsi="Times New Roman" w:eastAsia="宋体" w:cs="Times New Roman"/>
                <w:sz w:val="21"/>
                <w:szCs w:val="21"/>
                <w:lang w:val="en-US" w:eastAsia="zh-CN"/>
              </w:rPr>
              <w:t>×0.02t</w:t>
            </w:r>
            <w:r>
              <w:rPr>
                <w:rFonts w:hint="default" w:ascii="Times New Roman" w:hAnsi="Times New Roman" w:eastAsia="宋体" w:cs="Times New Roman"/>
                <w:sz w:val="21"/>
                <w:szCs w:val="21"/>
              </w:rPr>
              <w:t>/只</w:t>
            </w:r>
            <w:r>
              <w:rPr>
                <w:rFonts w:hint="default" w:ascii="Times New Roman" w:hAnsi="Times New Roman" w:eastAsia="宋体" w:cs="Times New Roman"/>
                <w:sz w:val="21"/>
                <w:szCs w:val="21"/>
                <w:lang w:val="en-US" w:eastAsia="zh-CN"/>
              </w:rPr>
              <w:t>×330</w:t>
            </w:r>
            <w:r>
              <w:rPr>
                <w:rFonts w:hint="default" w:ascii="Times New Roman" w:hAnsi="Times New Roman" w:eastAsia="宋体" w:cs="Times New Roman"/>
                <w:sz w:val="21"/>
                <w:szCs w:val="21"/>
              </w:rPr>
              <w:t>天</w:t>
            </w:r>
            <w:r>
              <w:rPr>
                <w:rFonts w:hint="default" w:ascii="Times New Roman" w:hAnsi="Times New Roman" w:eastAsia="宋体" w:cs="Times New Roman"/>
                <w:sz w:val="21"/>
                <w:szCs w:val="21"/>
                <w:lang w:val="en-US" w:eastAsia="zh-CN"/>
              </w:rPr>
              <w:t>=79.2t/a，废水产生量</w:t>
            </w:r>
            <w:r>
              <w:rPr>
                <w:rFonts w:hint="default" w:ascii="Times New Roman" w:hAnsi="Times New Roman" w:eastAsia="宋体" w:cs="Times New Roman"/>
                <w:sz w:val="21"/>
                <w:szCs w:val="21"/>
              </w:rPr>
              <w:t>按用水量的80%计，医疗废水排放量约</w:t>
            </w:r>
            <w:r>
              <w:rPr>
                <w:rFonts w:hint="default" w:ascii="Times New Roman" w:hAnsi="Times New Roman" w:eastAsia="宋体" w:cs="Times New Roman"/>
                <w:sz w:val="21"/>
                <w:szCs w:val="21"/>
                <w:lang w:val="en-US" w:eastAsia="zh-CN"/>
              </w:rPr>
              <w:t>0.192</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3</w:t>
            </w:r>
            <w:r>
              <w:rPr>
                <w:rFonts w:hint="default" w:ascii="Times New Roman" w:hAnsi="Times New Roman" w:eastAsia="宋体" w:cs="Times New Roman"/>
                <w:sz w:val="21"/>
                <w:szCs w:val="21"/>
              </w:rPr>
              <w:t>/d（</w:t>
            </w:r>
            <w:r>
              <w:rPr>
                <w:rFonts w:hint="default" w:ascii="Times New Roman" w:hAnsi="Times New Roman" w:eastAsia="宋体" w:cs="Times New Roman"/>
                <w:sz w:val="21"/>
                <w:szCs w:val="21"/>
                <w:lang w:val="en-US" w:eastAsia="zh-CN"/>
              </w:rPr>
              <w:t>63.4</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3</w:t>
            </w:r>
            <w:r>
              <w:rPr>
                <w:rFonts w:hint="default" w:ascii="Times New Roman" w:hAnsi="Times New Roman" w:eastAsia="宋体" w:cs="Times New Roman"/>
                <w:sz w:val="21"/>
                <w:szCs w:val="21"/>
              </w:rPr>
              <w:t>/a）。水质参考《医院污水处理工程技术规范》（HJ2029-2013）中相关数据。经</w:t>
            </w:r>
            <w:r>
              <w:rPr>
                <w:rFonts w:hint="default" w:ascii="Times New Roman" w:hAnsi="Times New Roman" w:eastAsia="宋体" w:cs="Times New Roman"/>
                <w:sz w:val="21"/>
                <w:szCs w:val="21"/>
                <w:lang w:val="en-US" w:eastAsia="zh-CN"/>
              </w:rPr>
              <w:t>消毒预</w:t>
            </w:r>
            <w:r>
              <w:rPr>
                <w:rFonts w:hint="default" w:ascii="Times New Roman" w:hAnsi="Times New Roman" w:eastAsia="宋体" w:cs="Times New Roman"/>
                <w:sz w:val="21"/>
                <w:szCs w:val="21"/>
              </w:rPr>
              <w:t>处理，达《医疗机构水污染物排放标准》（GB18466-2005）表2综合医疗机构和其他医疗机构水污染物排放限值（预处理标准）后，和生活污水一起经市政管网接入城东污水处理厂处理。</w:t>
            </w:r>
          </w:p>
          <w:p>
            <w:pPr>
              <w:wordWrap w:val="0"/>
              <w:spacing w:line="360" w:lineRule="auto"/>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（3）</w:t>
            </w:r>
            <w:r>
              <w:rPr>
                <w:rFonts w:hint="default" w:ascii="Times New Roman" w:hAnsi="Times New Roman" w:eastAsia="宋体" w:cs="Times New Roman"/>
                <w:sz w:val="21"/>
                <w:szCs w:val="21"/>
                <w:lang w:val="en-US" w:eastAsia="zh-CN"/>
              </w:rPr>
              <w:t>洗浴用水</w:t>
            </w:r>
          </w:p>
          <w:p>
            <w:pPr>
              <w:wordWrap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项目年洗浴宠物约</w:t>
            </w:r>
            <w:r>
              <w:rPr>
                <w:rFonts w:hint="default" w:ascii="Times New Roman" w:hAnsi="Times New Roman" w:eastAsia="宋体" w:cs="Times New Roman"/>
                <w:sz w:val="21"/>
                <w:szCs w:val="21"/>
                <w:lang w:val="en-US" w:eastAsia="zh-CN"/>
              </w:rPr>
              <w:t>3500</w:t>
            </w:r>
            <w:r>
              <w:rPr>
                <w:rFonts w:hint="default" w:ascii="Times New Roman" w:hAnsi="Times New Roman" w:eastAsia="宋体" w:cs="Times New Roman"/>
                <w:sz w:val="21"/>
                <w:szCs w:val="21"/>
              </w:rPr>
              <w:t>例，用水量以50L/例计；则用水量为</w:t>
            </w:r>
            <w:r>
              <w:rPr>
                <w:rFonts w:hint="default"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rPr>
              <w:t>75t/a，排水量以用水量的80%计，则产生洗浴污水为</w:t>
            </w:r>
            <w:r>
              <w:rPr>
                <w:rFonts w:hint="default" w:ascii="Times New Roman" w:hAnsi="Times New Roman" w:eastAsia="宋体" w:cs="Times New Roman"/>
                <w:sz w:val="21"/>
                <w:szCs w:val="21"/>
                <w:lang w:val="en-US" w:eastAsia="zh-CN"/>
              </w:rPr>
              <w:t>140</w:t>
            </w:r>
            <w:r>
              <w:rPr>
                <w:rFonts w:hint="default" w:ascii="Times New Roman" w:hAnsi="Times New Roman" w:eastAsia="宋体" w:cs="Times New Roman"/>
                <w:sz w:val="21"/>
                <w:szCs w:val="21"/>
              </w:rPr>
              <w:t>t/a。洗浴污水水质参照城市生活污水水质，主要污染因子为COD、SS等。洗浴污水经格栅处理后达到《污水综合排放标准》（GB8978-1996）中的三级标准后与其它生活污水一起经市政管网接入城东污水处理厂处理，尾水排入新浏河。</w:t>
            </w:r>
          </w:p>
          <w:p>
            <w:pPr>
              <w:wordWrap w:val="0"/>
              <w:spacing w:line="360" w:lineRule="auto"/>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（4）</w:t>
            </w:r>
            <w:r>
              <w:rPr>
                <w:rFonts w:hint="default" w:ascii="Times New Roman" w:hAnsi="Times New Roman" w:eastAsia="宋体" w:cs="Times New Roman"/>
                <w:sz w:val="21"/>
                <w:szCs w:val="21"/>
                <w:lang w:val="en-US" w:eastAsia="zh-CN"/>
              </w:rPr>
              <w:t>消毒液配制用水</w:t>
            </w:r>
          </w:p>
          <w:p>
            <w:pPr>
              <w:wordWrap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消毒液配比：1:50，项目消毒液用量：0.05t，配制消毒液需水2.5t，配置后消毒液喷洒使用，完全挥发，无废水产生。</w:t>
            </w:r>
          </w:p>
          <w:p>
            <w:pPr>
              <w:spacing w:line="360" w:lineRule="auto"/>
              <w:ind w:firstLine="544"/>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项目建成后全厂</w:t>
            </w:r>
            <w:r>
              <w:rPr>
                <w:rFonts w:hint="default" w:ascii="Times New Roman" w:hAnsi="Times New Roman" w:eastAsia="宋体" w:cs="Times New Roman"/>
                <w:sz w:val="21"/>
                <w:szCs w:val="21"/>
              </w:rPr>
              <w:t>水平衡如下图2-1所示。</w:t>
            </w:r>
          </w:p>
          <w:p>
            <w:pPr>
              <w:spacing w:line="360" w:lineRule="auto"/>
              <w:jc w:val="center"/>
              <w:rPr>
                <w:color w:val="FF0000"/>
                <w:szCs w:val="21"/>
              </w:rPr>
            </w:pPr>
            <w:r>
              <w:drawing>
                <wp:inline distT="0" distB="0" distL="114300" distR="114300">
                  <wp:extent cx="5933440" cy="3834765"/>
                  <wp:effectExtent l="0" t="0" r="10160" b="1333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tretch>
                            <a:fillRect/>
                          </a:stretch>
                        </pic:blipFill>
                        <pic:spPr>
                          <a:xfrm>
                            <a:off x="0" y="0"/>
                            <a:ext cx="5933440" cy="3834765"/>
                          </a:xfrm>
                          <a:prstGeom prst="rect">
                            <a:avLst/>
                          </a:prstGeom>
                          <a:noFill/>
                          <a:ln>
                            <a:noFill/>
                          </a:ln>
                        </pic:spPr>
                      </pic:pic>
                    </a:graphicData>
                  </a:graphic>
                </wp:inline>
              </w:drawing>
            </w:r>
          </w:p>
          <w:p>
            <w:pPr>
              <w:pStyle w:val="35"/>
              <w:ind w:left="0" w:leftChars="0" w:firstLine="0" w:firstLineChars="0"/>
              <w:jc w:val="center"/>
              <w:rPr>
                <w:rFonts w:hint="default" w:ascii="Times New Roman" w:hAnsi="Times New Roman" w:cs="Times New Roman"/>
                <w:b/>
                <w:bCs/>
                <w:szCs w:val="21"/>
              </w:rPr>
            </w:pPr>
            <w:r>
              <w:rPr>
                <w:rFonts w:hint="default" w:ascii="Times New Roman" w:hAnsi="Times New Roman" w:cs="Times New Roman"/>
                <w:b/>
                <w:bCs/>
                <w:szCs w:val="21"/>
              </w:rPr>
              <w:t>图2-</w:t>
            </w:r>
            <w:r>
              <w:rPr>
                <w:rFonts w:hint="default" w:ascii="Times New Roman" w:hAnsi="Times New Roman" w:cs="Times New Roman"/>
                <w:b/>
                <w:bCs/>
                <w:szCs w:val="21"/>
                <w:lang w:val="en-US" w:eastAsia="zh-CN"/>
              </w:rPr>
              <w:t>1建设</w:t>
            </w:r>
            <w:r>
              <w:rPr>
                <w:rFonts w:hint="default" w:ascii="Times New Roman" w:hAnsi="Times New Roman" w:cs="Times New Roman"/>
                <w:b/>
                <w:bCs/>
                <w:szCs w:val="21"/>
              </w:rPr>
              <w:t>项目水平衡图（t/a）</w:t>
            </w:r>
          </w:p>
          <w:p>
            <w:pPr>
              <w:adjustRightInd w:val="0"/>
              <w:snapToGrid w:val="0"/>
              <w:spacing w:line="360" w:lineRule="auto"/>
              <w:ind w:firstLine="446" w:firstLineChars="200"/>
              <w:rPr>
                <w:rFonts w:hint="default" w:ascii="Times New Roman" w:hAnsi="Times New Roman" w:eastAsia="宋体" w:cs="Times New Roman"/>
                <w:b/>
                <w:spacing w:val="6"/>
                <w:sz w:val="21"/>
                <w:szCs w:val="21"/>
                <w:shd w:val="clear" w:color="auto" w:fill="FFFFFF"/>
              </w:rPr>
            </w:pPr>
            <w:r>
              <w:rPr>
                <w:rFonts w:hint="default" w:ascii="Times New Roman" w:hAnsi="Times New Roman" w:eastAsia="宋体" w:cs="Times New Roman"/>
                <w:b/>
                <w:spacing w:val="6"/>
                <w:sz w:val="21"/>
                <w:szCs w:val="21"/>
                <w:shd w:val="clear" w:color="auto" w:fill="FFFFFF"/>
              </w:rPr>
              <w:t>7．劳动定员及工作制度</w:t>
            </w:r>
          </w:p>
          <w:p>
            <w:pPr>
              <w:adjustRightInd w:val="0"/>
              <w:snapToGrid w:val="0"/>
              <w:spacing w:line="360" w:lineRule="auto"/>
              <w:ind w:firstLine="444" w:firstLineChars="200"/>
              <w:rPr>
                <w:rFonts w:hint="default" w:ascii="Times New Roman" w:hAnsi="Times New Roman" w:eastAsia="宋体" w:cs="Times New Roman"/>
                <w:spacing w:val="6"/>
                <w:sz w:val="21"/>
                <w:szCs w:val="21"/>
                <w:shd w:val="clear" w:color="auto" w:fill="FFFFFF"/>
              </w:rPr>
            </w:pPr>
            <w:r>
              <w:rPr>
                <w:rFonts w:hint="default" w:ascii="Times New Roman" w:hAnsi="Times New Roman" w:eastAsia="宋体" w:cs="Times New Roman"/>
                <w:spacing w:val="6"/>
                <w:sz w:val="21"/>
                <w:szCs w:val="21"/>
                <w:shd w:val="clear" w:color="auto" w:fill="FFFFFF"/>
              </w:rPr>
              <w:t>劳动定员：建设项目职工定员</w:t>
            </w:r>
            <w:r>
              <w:rPr>
                <w:rFonts w:hint="default" w:ascii="Times New Roman" w:hAnsi="Times New Roman" w:eastAsia="宋体" w:cs="Times New Roman"/>
                <w:spacing w:val="6"/>
                <w:sz w:val="21"/>
                <w:szCs w:val="21"/>
                <w:shd w:val="clear" w:color="auto" w:fill="FFFFFF"/>
                <w:lang w:val="en-US" w:eastAsia="zh-CN"/>
              </w:rPr>
              <w:t>20</w:t>
            </w:r>
            <w:r>
              <w:rPr>
                <w:rFonts w:hint="default" w:ascii="Times New Roman" w:hAnsi="Times New Roman" w:eastAsia="宋体" w:cs="Times New Roman"/>
                <w:spacing w:val="6"/>
                <w:sz w:val="21"/>
                <w:szCs w:val="21"/>
                <w:shd w:val="clear" w:color="auto" w:fill="FFFFFF"/>
              </w:rPr>
              <w:t>人，无食堂、宿舍。</w:t>
            </w:r>
          </w:p>
          <w:p>
            <w:pPr>
              <w:spacing w:line="360" w:lineRule="auto"/>
              <w:ind w:firstLine="444" w:firstLineChars="200"/>
              <w:rPr>
                <w:rFonts w:hint="default" w:ascii="Times New Roman" w:hAnsi="Times New Roman" w:eastAsia="宋体" w:cs="Times New Roman"/>
                <w:sz w:val="21"/>
                <w:szCs w:val="21"/>
              </w:rPr>
            </w:pPr>
            <w:r>
              <w:rPr>
                <w:rFonts w:hint="default" w:ascii="Times New Roman" w:hAnsi="Times New Roman" w:eastAsia="宋体" w:cs="Times New Roman"/>
                <w:spacing w:val="6"/>
                <w:sz w:val="21"/>
                <w:szCs w:val="21"/>
                <w:shd w:val="clear" w:color="auto" w:fill="FFFFFF"/>
              </w:rPr>
              <w:t>工作制度：</w:t>
            </w:r>
            <w:r>
              <w:rPr>
                <w:rFonts w:hint="default" w:ascii="Times New Roman" w:hAnsi="Times New Roman" w:eastAsia="宋体" w:cs="Times New Roman"/>
                <w:sz w:val="21"/>
                <w:szCs w:val="21"/>
                <w:lang w:val="en-US" w:eastAsia="zh-CN"/>
              </w:rPr>
              <w:t>工作时间为 09：00</w:t>
            </w:r>
            <w:r>
              <w:rPr>
                <w:rFonts w:hint="default" w:ascii="Times New Roman" w:hAnsi="Times New Roman" w:eastAsia="宋体" w:cs="Times New Roman"/>
                <w:spacing w:val="6"/>
                <w:sz w:val="21"/>
                <w:szCs w:val="21"/>
                <w:shd w:val="clear" w:color="auto" w:fill="FFFFFF"/>
              </w:rPr>
              <w:t>~</w:t>
            </w:r>
            <w:r>
              <w:rPr>
                <w:rFonts w:hint="default" w:ascii="Times New Roman" w:hAnsi="Times New Roman" w:eastAsia="宋体" w:cs="Times New Roman"/>
                <w:sz w:val="21"/>
                <w:szCs w:val="21"/>
                <w:lang w:val="en-US" w:eastAsia="zh-CN"/>
              </w:rPr>
              <w:t>21：00，</w:t>
            </w:r>
            <w:r>
              <w:rPr>
                <w:rFonts w:hint="default" w:ascii="Times New Roman" w:hAnsi="Times New Roman" w:eastAsia="宋体" w:cs="Times New Roman"/>
                <w:sz w:val="21"/>
                <w:szCs w:val="21"/>
              </w:rPr>
              <w:t>年工作日为</w:t>
            </w:r>
            <w:r>
              <w:rPr>
                <w:rFonts w:hint="default" w:ascii="Times New Roman" w:hAnsi="Times New Roman" w:eastAsia="宋体" w:cs="Times New Roman"/>
                <w:sz w:val="21"/>
                <w:szCs w:val="21"/>
                <w:lang w:val="en-US" w:eastAsia="zh-CN"/>
              </w:rPr>
              <w:t>330</w:t>
            </w:r>
            <w:r>
              <w:rPr>
                <w:rFonts w:hint="default" w:ascii="Times New Roman" w:hAnsi="Times New Roman" w:eastAsia="宋体" w:cs="Times New Roman"/>
                <w:sz w:val="21"/>
                <w:szCs w:val="21"/>
              </w:rPr>
              <w:t>天。</w:t>
            </w:r>
          </w:p>
          <w:p>
            <w:pPr>
              <w:adjustRightInd w:val="0"/>
              <w:snapToGrid w:val="0"/>
              <w:spacing w:line="360" w:lineRule="auto"/>
              <w:ind w:firstLine="446" w:firstLineChars="200"/>
              <w:rPr>
                <w:rFonts w:hint="default" w:ascii="Times New Roman" w:hAnsi="Times New Roman" w:eastAsia="宋体" w:cs="Times New Roman"/>
                <w:sz w:val="21"/>
                <w:szCs w:val="21"/>
              </w:rPr>
            </w:pPr>
            <w:r>
              <w:rPr>
                <w:rFonts w:hint="default" w:ascii="Times New Roman" w:hAnsi="Times New Roman" w:eastAsia="宋体" w:cs="Times New Roman"/>
                <w:b/>
                <w:spacing w:val="6"/>
                <w:sz w:val="21"/>
                <w:szCs w:val="21"/>
                <w:shd w:val="clear" w:color="auto" w:fill="FFFFFF"/>
              </w:rPr>
              <w:t>8．厂区平面布置情况</w:t>
            </w:r>
          </w:p>
          <w:p>
            <w:pPr>
              <w:spacing w:line="360" w:lineRule="auto"/>
              <w:ind w:firstLine="420" w:firstLineChars="200"/>
              <w:rPr>
                <w:rFonts w:hint="eastAsia" w:ascii="宋体" w:hAnsi="宋体" w:eastAsia="宋体"/>
                <w:szCs w:val="21"/>
                <w:lang w:val="en-US" w:eastAsia="zh-CN"/>
              </w:rPr>
            </w:pPr>
            <w:r>
              <w:rPr>
                <w:rFonts w:hint="default" w:ascii="Times New Roman" w:hAnsi="Times New Roman" w:eastAsia="宋体" w:cs="Times New Roman"/>
                <w:sz w:val="21"/>
                <w:szCs w:val="21"/>
              </w:rPr>
              <w:t>项目位于</w:t>
            </w:r>
            <w:r>
              <w:rPr>
                <w:rFonts w:hint="default" w:ascii="Times New Roman" w:hAnsi="Times New Roman" w:eastAsia="宋体" w:cs="Times New Roman"/>
                <w:color w:val="auto"/>
                <w:sz w:val="21"/>
                <w:szCs w:val="21"/>
              </w:rPr>
              <w:t>太仓市</w:t>
            </w:r>
            <w:r>
              <w:rPr>
                <w:rFonts w:hint="default" w:ascii="Times New Roman" w:hAnsi="Times New Roman" w:eastAsia="宋体" w:cs="Times New Roman"/>
                <w:color w:val="auto"/>
                <w:sz w:val="21"/>
                <w:szCs w:val="21"/>
                <w:lang w:val="en-US" w:eastAsia="zh-CN"/>
              </w:rPr>
              <w:t>高新区</w:t>
            </w:r>
            <w:r>
              <w:rPr>
                <w:rFonts w:hint="default" w:ascii="Times New Roman" w:hAnsi="Times New Roman" w:eastAsia="宋体" w:cs="Times New Roman"/>
                <w:color w:val="auto"/>
                <w:sz w:val="21"/>
                <w:szCs w:val="21"/>
              </w:rPr>
              <w:t>郑和中路376号20幢商铺06室</w:t>
            </w:r>
            <w:r>
              <w:rPr>
                <w:rFonts w:hint="default" w:ascii="Times New Roman" w:hAnsi="Times New Roman" w:eastAsia="宋体" w:cs="Times New Roman"/>
                <w:sz w:val="21"/>
                <w:szCs w:val="21"/>
              </w:rPr>
              <w:t>，租赁面积约</w:t>
            </w:r>
            <w:r>
              <w:rPr>
                <w:rFonts w:hint="default" w:ascii="Times New Roman" w:hAnsi="Times New Roman" w:eastAsia="宋体" w:cs="Times New Roman"/>
                <w:color w:val="auto"/>
                <w:sz w:val="21"/>
                <w:szCs w:val="21"/>
              </w:rPr>
              <w:t>517.26</w:t>
            </w: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2</w:t>
            </w:r>
            <w:r>
              <w:rPr>
                <w:rFonts w:hint="default" w:ascii="Times New Roman" w:hAnsi="Times New Roman" w:eastAsia="宋体" w:cs="Times New Roman"/>
                <w:sz w:val="21"/>
                <w:szCs w:val="21"/>
              </w:rPr>
              <w:t>，共两层</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具体功能区包括猫狗诊室、手术室、X光室、B超房等</w:t>
            </w:r>
            <w:r>
              <w:rPr>
                <w:rFonts w:hint="default" w:ascii="Times New Roman" w:hAnsi="Times New Roman" w:eastAsia="宋体" w:cs="Times New Roman"/>
                <w:sz w:val="21"/>
                <w:szCs w:val="21"/>
              </w:rPr>
              <w:t>，具体见附图三建设项目厂区平面布置图。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545" w:type="dxa"/>
            <w:vAlign w:val="center"/>
          </w:tcPr>
          <w:p>
            <w:pPr>
              <w:pStyle w:val="32"/>
              <w:adjustRightInd w:val="0"/>
              <w:snapToGrid w:val="0"/>
              <w:spacing w:before="0" w:beforeAutospacing="0" w:after="0" w:afterAutospacing="0"/>
              <w:jc w:val="center"/>
              <w:rPr>
                <w:rFonts w:ascii="Times New Roman" w:hAnsi="Times New Roman"/>
                <w:sz w:val="21"/>
                <w:szCs w:val="21"/>
              </w:rPr>
            </w:pPr>
            <w:r>
              <w:rPr>
                <w:rFonts w:ascii="Times New Roman" w:hAnsi="Times New Roman"/>
                <w:sz w:val="21"/>
                <w:szCs w:val="21"/>
              </w:rPr>
              <w:t>工艺流程和产排污环节</w:t>
            </w:r>
          </w:p>
        </w:tc>
        <w:tc>
          <w:tcPr>
            <w:tcW w:w="9417" w:type="dxa"/>
            <w:vAlign w:val="center"/>
          </w:tcPr>
          <w:p>
            <w:pPr>
              <w:snapToGrid w:val="0"/>
              <w:spacing w:line="360" w:lineRule="auto"/>
              <w:jc w:val="left"/>
              <w:rPr>
                <w:rFonts w:ascii="宋体" w:hAnsi="宋体"/>
                <w:b/>
                <w:szCs w:val="21"/>
              </w:rPr>
            </w:pPr>
            <w:r>
              <w:rPr>
                <w:rFonts w:hint="eastAsia" w:ascii="宋体" w:hAnsi="宋体"/>
                <w:b/>
                <w:szCs w:val="21"/>
              </w:rPr>
              <w:t>1、</w:t>
            </w:r>
            <w:r>
              <w:rPr>
                <w:rFonts w:ascii="宋体" w:hAnsi="宋体"/>
                <w:b/>
                <w:szCs w:val="21"/>
              </w:rPr>
              <w:t>工艺流程简述（图示）</w:t>
            </w:r>
          </w:p>
          <w:p>
            <w:pPr>
              <w:jc w:val="center"/>
              <w:rPr>
                <w:rFonts w:hint="eastAsia" w:ascii="宋体" w:hAnsi="宋体"/>
                <w:b/>
                <w:szCs w:val="21"/>
              </w:rPr>
            </w:pPr>
            <w:r>
              <w:drawing>
                <wp:inline distT="0" distB="0" distL="114300" distR="114300">
                  <wp:extent cx="5946775" cy="2140585"/>
                  <wp:effectExtent l="0" t="0" r="15875" b="12065"/>
                  <wp:docPr id="3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5"/>
                          <pic:cNvPicPr>
                            <a:picLocks noChangeAspect="1"/>
                          </pic:cNvPicPr>
                        </pic:nvPicPr>
                        <pic:blipFill>
                          <a:blip r:embed="rId11"/>
                          <a:stretch>
                            <a:fillRect/>
                          </a:stretch>
                        </pic:blipFill>
                        <pic:spPr>
                          <a:xfrm>
                            <a:off x="0" y="0"/>
                            <a:ext cx="5946775" cy="2140585"/>
                          </a:xfrm>
                          <a:prstGeom prst="rect">
                            <a:avLst/>
                          </a:prstGeom>
                          <a:noFill/>
                          <a:ln>
                            <a:noFill/>
                          </a:ln>
                        </pic:spPr>
                      </pic:pic>
                    </a:graphicData>
                  </a:graphic>
                </wp:inline>
              </w:drawing>
            </w:r>
            <w:r>
              <w:rPr>
                <w:rFonts w:hint="eastAsia" w:ascii="宋体" w:hAnsi="宋体"/>
                <w:b/>
                <w:szCs w:val="21"/>
              </w:rPr>
              <mc:AlternateContent>
                <mc:Choice Requires="wps">
                  <w:drawing>
                    <wp:anchor distT="0" distB="0" distL="114300" distR="114300" simplePos="0" relativeHeight="251660288" behindDoc="0" locked="0" layoutInCell="1" allowOverlap="1">
                      <wp:simplePos x="0" y="0"/>
                      <wp:positionH relativeFrom="column">
                        <wp:posOffset>4472940</wp:posOffset>
                      </wp:positionH>
                      <wp:positionV relativeFrom="paragraph">
                        <wp:posOffset>1002030</wp:posOffset>
                      </wp:positionV>
                      <wp:extent cx="801370" cy="981710"/>
                      <wp:effectExtent l="0" t="0" r="0" b="0"/>
                      <wp:wrapNone/>
                      <wp:docPr id="30" name="文本框 30"/>
                      <wp:cNvGraphicFramePr/>
                      <a:graphic xmlns:a="http://schemas.openxmlformats.org/drawingml/2006/main">
                        <a:graphicData uri="http://schemas.microsoft.com/office/word/2010/wordprocessingShape">
                          <wps:wsp>
                            <wps:cNvSpPr txBox="1">
                              <a:spLocks noChangeArrowheads="1"/>
                            </wps:cNvSpPr>
                            <wps:spPr bwMode="auto">
                              <a:xfrm>
                                <a:off x="0" y="0"/>
                                <a:ext cx="801370" cy="981710"/>
                              </a:xfrm>
                              <a:prstGeom prst="rect">
                                <a:avLst/>
                              </a:prstGeom>
                              <a:noFill/>
                              <a:ln>
                                <a:noFill/>
                              </a:ln>
                            </wps:spPr>
                            <wps:txbx>
                              <w:txbxContent>
                                <w:p>
                                  <w:pPr>
                                    <w:ind w:firstLine="210" w:firstLineChars="100"/>
                                    <w:rPr>
                                      <w:rFonts w:ascii="宋体" w:hAnsi="宋体"/>
                                    </w:rPr>
                                  </w:pPr>
                                  <w:r>
                                    <w:rPr>
                                      <w:rFonts w:hint="eastAsia" w:ascii="宋体" w:hAnsi="宋体"/>
                                    </w:rPr>
                                    <w:t>图例</w:t>
                                  </w:r>
                                </w:p>
                                <w:p>
                                  <w:pPr>
                                    <w:rPr>
                                      <w:rFonts w:ascii="宋体" w:hAnsi="宋体"/>
                                    </w:rPr>
                                  </w:pPr>
                                  <w:r>
                                    <w:rPr>
                                      <w:rFonts w:hint="eastAsia" w:ascii="宋体" w:hAnsi="宋体"/>
                                    </w:rPr>
                                    <w:t>G——废气</w:t>
                                  </w:r>
                                </w:p>
                                <w:p>
                                  <w:pPr>
                                    <w:rPr>
                                      <w:rFonts w:ascii="宋体" w:hAnsi="宋体"/>
                                    </w:rPr>
                                  </w:pPr>
                                  <w:r>
                                    <w:rPr>
                                      <w:rFonts w:hint="eastAsia" w:ascii="宋体" w:hAnsi="宋体"/>
                                    </w:rPr>
                                    <w:t>N——噪声</w:t>
                                  </w:r>
                                </w:p>
                                <w:p>
                                  <w:pPr>
                                    <w:rPr>
                                      <w:rFonts w:hint="eastAsia" w:ascii="宋体" w:hAnsi="宋体"/>
                                    </w:rPr>
                                  </w:pPr>
                                  <w:r>
                                    <w:rPr>
                                      <w:rFonts w:hint="eastAsia" w:ascii="宋体" w:hAnsi="宋体"/>
                                    </w:rPr>
                                    <w:t>S——固废</w:t>
                                  </w:r>
                                </w:p>
                                <w:p>
                                  <w:pPr>
                                    <w:rPr>
                                      <w:rFonts w:hint="eastAsia" w:ascii="宋体" w:hAnsi="宋体" w:eastAsia="宋体"/>
                                      <w:lang w:val="en-US" w:eastAsia="zh-CN"/>
                                    </w:rPr>
                                  </w:pPr>
                                  <w:r>
                                    <w:rPr>
                                      <w:rFonts w:hint="eastAsia" w:ascii="宋体" w:hAnsi="宋体"/>
                                      <w:lang w:val="en-US" w:eastAsia="zh-CN"/>
                                    </w:rPr>
                                    <w:t>W</w:t>
                                  </w:r>
                                  <w:r>
                                    <w:rPr>
                                      <w:rFonts w:hint="eastAsia" w:ascii="宋体" w:hAnsi="宋体"/>
                                    </w:rPr>
                                    <w:t>——</w:t>
                                  </w:r>
                                  <w:r>
                                    <w:rPr>
                                      <w:rFonts w:hint="eastAsia" w:ascii="宋体" w:hAnsi="宋体"/>
                                      <w:lang w:val="en-US" w:eastAsia="zh-CN"/>
                                    </w:rPr>
                                    <w:t>废水</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52.2pt;margin-top:78.9pt;height:77.3pt;width:63.1pt;z-index:251660288;mso-width-relative:page;mso-height-relative:page;" filled="f" stroked="f" coordsize="21600,21600" o:gfxdata="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KHTw7YAAAACwEAAA8A&#10;AAAAAAAAAQAgAAAAIgAAAGRycy9kb3ducmV2LnhtbFBLAQIUABQAAAAIAIdO4kA8yJdhFwIAABYE&#10;AAAOAAAAAAAAAAEAIAAAACcBAABkcnMvZTJvRG9jLnhtbFBLBQYAAAAABgAGAFkBAACwBQAAAAA=&#10;">
                      <v:fill on="f" focussize="0,0"/>
                      <v:stroke on="f"/>
                      <v:imagedata o:title=""/>
                      <o:lock v:ext="edit" aspectratio="f"/>
                      <v:textbox>
                        <w:txbxContent>
                          <w:p>
                            <w:pPr>
                              <w:ind w:firstLine="210" w:firstLineChars="100"/>
                              <w:rPr>
                                <w:rFonts w:ascii="宋体" w:hAnsi="宋体"/>
                              </w:rPr>
                            </w:pPr>
                            <w:r>
                              <w:rPr>
                                <w:rFonts w:hint="eastAsia" w:ascii="宋体" w:hAnsi="宋体"/>
                              </w:rPr>
                              <w:t>图例</w:t>
                            </w:r>
                          </w:p>
                          <w:p>
                            <w:pPr>
                              <w:rPr>
                                <w:rFonts w:ascii="宋体" w:hAnsi="宋体"/>
                              </w:rPr>
                            </w:pPr>
                            <w:r>
                              <w:rPr>
                                <w:rFonts w:hint="eastAsia" w:ascii="宋体" w:hAnsi="宋体"/>
                              </w:rPr>
                              <w:t>G——废气</w:t>
                            </w:r>
                          </w:p>
                          <w:p>
                            <w:pPr>
                              <w:rPr>
                                <w:rFonts w:ascii="宋体" w:hAnsi="宋体"/>
                              </w:rPr>
                            </w:pPr>
                            <w:r>
                              <w:rPr>
                                <w:rFonts w:hint="eastAsia" w:ascii="宋体" w:hAnsi="宋体"/>
                              </w:rPr>
                              <w:t>N——噪声</w:t>
                            </w:r>
                          </w:p>
                          <w:p>
                            <w:pPr>
                              <w:rPr>
                                <w:rFonts w:hint="eastAsia" w:ascii="宋体" w:hAnsi="宋体"/>
                              </w:rPr>
                            </w:pPr>
                            <w:r>
                              <w:rPr>
                                <w:rFonts w:hint="eastAsia" w:ascii="宋体" w:hAnsi="宋体"/>
                              </w:rPr>
                              <w:t>S——固废</w:t>
                            </w:r>
                          </w:p>
                          <w:p>
                            <w:pPr>
                              <w:rPr>
                                <w:rFonts w:hint="eastAsia" w:ascii="宋体" w:hAnsi="宋体" w:eastAsia="宋体"/>
                                <w:lang w:val="en-US" w:eastAsia="zh-CN"/>
                              </w:rPr>
                            </w:pPr>
                            <w:r>
                              <w:rPr>
                                <w:rFonts w:hint="eastAsia" w:ascii="宋体" w:hAnsi="宋体"/>
                                <w:lang w:val="en-US" w:eastAsia="zh-CN"/>
                              </w:rPr>
                              <w:t>W</w:t>
                            </w:r>
                            <w:r>
                              <w:rPr>
                                <w:rFonts w:hint="eastAsia" w:ascii="宋体" w:hAnsi="宋体"/>
                              </w:rPr>
                              <w:t>——</w:t>
                            </w:r>
                            <w:r>
                              <w:rPr>
                                <w:rFonts w:hint="eastAsia" w:ascii="宋体" w:hAnsi="宋体"/>
                                <w:lang w:val="en-US" w:eastAsia="zh-CN"/>
                              </w:rPr>
                              <w:t>废水</w:t>
                            </w:r>
                          </w:p>
                        </w:txbxContent>
                      </v:textbox>
                    </v:shape>
                  </w:pict>
                </mc:Fallback>
              </mc:AlternateContent>
            </w:r>
          </w:p>
          <w:p>
            <w:pPr>
              <w:spacing w:line="360" w:lineRule="auto"/>
              <w:jc w:val="center"/>
              <w:rPr>
                <w:rFonts w:hint="default" w:ascii="Times New Roman" w:hAnsi="Times New Roman" w:cs="Times New Roman"/>
                <w:b/>
                <w:bCs/>
                <w:szCs w:val="21"/>
              </w:rPr>
            </w:pPr>
            <w:r>
              <w:rPr>
                <w:rFonts w:hint="default" w:ascii="Times New Roman" w:hAnsi="Times New Roman" w:cs="Times New Roman"/>
                <w:b/>
                <w:bCs/>
                <w:szCs w:val="21"/>
              </w:rPr>
              <w:t>图2-</w:t>
            </w:r>
            <w:r>
              <w:rPr>
                <w:rFonts w:hint="default" w:ascii="Times New Roman" w:hAnsi="Times New Roman" w:cs="Times New Roman"/>
                <w:b/>
                <w:bCs/>
                <w:szCs w:val="21"/>
                <w:lang w:val="en-US" w:eastAsia="zh-CN"/>
              </w:rPr>
              <w:t>2</w:t>
            </w:r>
            <w:r>
              <w:rPr>
                <w:rFonts w:hint="default" w:ascii="Times New Roman" w:hAnsi="Times New Roman" w:cs="Times New Roman"/>
                <w:b/>
                <w:bCs/>
                <w:szCs w:val="21"/>
              </w:rPr>
              <w:t>扩建项目工艺流程图</w:t>
            </w:r>
          </w:p>
          <w:p>
            <w:pPr>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工艺简介：</w:t>
            </w:r>
          </w:p>
          <w:p>
            <w:pPr>
              <w:wordWrap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基础检查：医护人员对宠物进行预检。</w:t>
            </w:r>
          </w:p>
          <w:p>
            <w:pPr>
              <w:wordWrap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化验诊断：为宠物安排化验，由宠物医生依据化验结果，结合问诊(宠物主人)、触诊及听诊等得出诊断结果，制定具体治疗方案(主要为配药、输液和手术)。化验使用的一次性医疗器、棉签、宠物血液、针管等属于医疗废物（S1-1），化验时仪器清洗及宠物医生洗手等产生医疗废水（W1</w:t>
            </w:r>
            <w:r>
              <w:rPr>
                <w:rFonts w:hint="default"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化验过程产生化验废气（G1</w:t>
            </w:r>
            <w:r>
              <w:rPr>
                <w:rFonts w:hint="default"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rPr>
              <w:t>）。</w:t>
            </w:r>
          </w:p>
          <w:p>
            <w:pPr>
              <w:wordWrap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治疗：对需要手术的动物进行手术治疗，把宠物放在手术台上麻醉后根据病情使用手术刀等工具进行手术（包括动物颅腔、胸腔或腹腔等手术），手术过程中手术台上铺的医用纱布、垫料，手术过程中产生的血液、废弃医用棉花、宠物医生的一次性手套、输液及手术过程中的一次性注射器、缝合针等医疗废物，切除的宠物组织、病死宠物尸体等属于医疗废物（S</w:t>
            </w:r>
            <w:r>
              <w:rPr>
                <w:rFonts w:hint="default" w:ascii="Times New Roman" w:hAnsi="Times New Roman" w:eastAsia="宋体" w:cs="Times New Roman"/>
                <w:sz w:val="21"/>
                <w:szCs w:val="21"/>
                <w:lang w:val="en-US" w:eastAsia="zh-CN"/>
              </w:rPr>
              <w:t>1-2</w:t>
            </w:r>
            <w:r>
              <w:rPr>
                <w:rFonts w:hint="default" w:ascii="Times New Roman" w:hAnsi="Times New Roman" w:eastAsia="宋体" w:cs="Times New Roman"/>
                <w:sz w:val="21"/>
                <w:szCs w:val="21"/>
              </w:rPr>
              <w:t>），宠物医生手术后的清洗废水属于医疗废水（W</w:t>
            </w:r>
            <w:r>
              <w:rPr>
                <w:rFonts w:hint="default" w:ascii="Times New Roman" w:hAnsi="Times New Roman" w:eastAsia="宋体" w:cs="Times New Roman"/>
                <w:sz w:val="21"/>
                <w:szCs w:val="21"/>
                <w:lang w:val="en-US" w:eastAsia="zh-CN"/>
              </w:rPr>
              <w:t>1-1</w:t>
            </w:r>
            <w:r>
              <w:rPr>
                <w:rFonts w:hint="default" w:ascii="Times New Roman" w:hAnsi="Times New Roman" w:eastAsia="宋体" w:cs="Times New Roman"/>
                <w:sz w:val="21"/>
                <w:szCs w:val="21"/>
              </w:rPr>
              <w:t>）。</w:t>
            </w:r>
          </w:p>
          <w:p>
            <w:pPr>
              <w:wordWrap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观察:：此过程宠物生活产生少量臭气（G</w:t>
            </w:r>
            <w:r>
              <w:rPr>
                <w:rFonts w:hint="default" w:ascii="Times New Roman" w:hAnsi="Times New Roman" w:eastAsia="宋体" w:cs="Times New Roman"/>
                <w:sz w:val="21"/>
                <w:szCs w:val="21"/>
                <w:lang w:val="en-US" w:eastAsia="zh-CN"/>
              </w:rPr>
              <w:t>1-2</w:t>
            </w:r>
            <w:r>
              <w:rPr>
                <w:rFonts w:hint="default" w:ascii="Times New Roman" w:hAnsi="Times New Roman" w:eastAsia="宋体" w:cs="Times New Roman"/>
                <w:sz w:val="21"/>
                <w:szCs w:val="21"/>
              </w:rPr>
              <w:t>），宠物生活产生少量粪便</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尿液。</w:t>
            </w:r>
            <w:r>
              <w:rPr>
                <w:rFonts w:hint="default" w:ascii="Times New Roman" w:hAnsi="Times New Roman" w:eastAsia="宋体" w:cs="Times New Roman"/>
                <w:sz w:val="21"/>
                <w:szCs w:val="21"/>
              </w:rPr>
              <w:t>宠物诊所有不定期的病死动物尸体以及手术切除的废动物组织为医疗废物（S</w:t>
            </w:r>
            <w:r>
              <w:rPr>
                <w:rFonts w:hint="default" w:ascii="Times New Roman" w:hAnsi="Times New Roman" w:eastAsia="宋体" w:cs="Times New Roman"/>
                <w:sz w:val="21"/>
                <w:szCs w:val="21"/>
                <w:lang w:val="en-US" w:eastAsia="zh-CN"/>
              </w:rPr>
              <w:t>1-1</w:t>
            </w:r>
            <w:r>
              <w:rPr>
                <w:rFonts w:hint="default" w:ascii="Times New Roman" w:hAnsi="Times New Roman" w:eastAsia="宋体" w:cs="Times New Roman"/>
                <w:sz w:val="21"/>
                <w:szCs w:val="21"/>
              </w:rPr>
              <w:t>）。</w:t>
            </w:r>
          </w:p>
          <w:p>
            <w:pPr>
              <w:wordWrap w:val="0"/>
              <w:spacing w:line="360" w:lineRule="auto"/>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洗浴：使用自来水清洗动物躯干毛发等外表部位，清洗产生洗浴污水</w:t>
            </w:r>
            <w:r>
              <w:rPr>
                <w:rFonts w:hint="default" w:ascii="Times New Roman" w:hAnsi="Times New Roman" w:eastAsia="宋体" w:cs="Times New Roman"/>
                <w:sz w:val="21"/>
                <w:szCs w:val="21"/>
              </w:rPr>
              <w:t>（W</w:t>
            </w:r>
            <w:r>
              <w:rPr>
                <w:rFonts w:hint="default" w:ascii="Times New Roman" w:hAnsi="Times New Roman" w:eastAsia="宋体" w:cs="Times New Roman"/>
                <w:sz w:val="21"/>
                <w:szCs w:val="21"/>
                <w:lang w:val="en-US" w:eastAsia="zh-CN"/>
              </w:rPr>
              <w:t>1-2</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eastAsia="zh-CN"/>
              </w:rPr>
              <w:t>。</w:t>
            </w:r>
          </w:p>
          <w:p>
            <w:pPr>
              <w:wordWrap w:val="0"/>
              <w:spacing w:line="360" w:lineRule="auto"/>
              <w:ind w:firstLine="420" w:firstLineChars="20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en-US" w:eastAsia="zh-CN"/>
              </w:rPr>
              <w:t>剪毛：为洗浴后的猫狗等动物剪去体表毛发，主要产生固体废物动物毛发</w:t>
            </w:r>
            <w:r>
              <w:rPr>
                <w:rFonts w:hint="default" w:ascii="Times New Roman" w:hAnsi="Times New Roman" w:eastAsia="宋体" w:cs="Times New Roman"/>
                <w:sz w:val="21"/>
                <w:szCs w:val="21"/>
              </w:rPr>
              <w:t>（S</w:t>
            </w:r>
            <w:r>
              <w:rPr>
                <w:rFonts w:hint="default" w:ascii="Times New Roman" w:hAnsi="Times New Roman" w:eastAsia="宋体" w:cs="Times New Roman"/>
                <w:sz w:val="21"/>
                <w:szCs w:val="21"/>
                <w:lang w:val="en-US" w:eastAsia="zh-CN"/>
              </w:rPr>
              <w:t>1-2</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eastAsia="zh-CN"/>
              </w:rPr>
              <w:t>。</w:t>
            </w:r>
          </w:p>
          <w:p>
            <w:pPr>
              <w:wordWrap w:val="0"/>
              <w:spacing w:line="360" w:lineRule="auto"/>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离开：观察一段时间后，宠物恢复，离开医院。</w:t>
            </w:r>
          </w:p>
          <w:p>
            <w:pPr>
              <w:wordWrap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另外，本项目采用数字化DR 机摄影，得到数字图像供医生观看，因此，本项目DR室不产生感光废物。</w:t>
            </w:r>
          </w:p>
          <w:p>
            <w:pPr>
              <w:numPr>
                <w:ilvl w:val="0"/>
                <w:numId w:val="0"/>
              </w:numPr>
              <w:snapToGrid w:val="0"/>
              <w:spacing w:line="360" w:lineRule="auto"/>
              <w:jc w:val="left"/>
              <w:rPr>
                <w:rFonts w:hint="default" w:ascii="Times New Roman" w:hAnsi="Times New Roman" w:eastAsia="宋体" w:cs="Times New Roman"/>
                <w:b/>
                <w:sz w:val="21"/>
                <w:szCs w:val="21"/>
                <w:lang w:val="en-US" w:eastAsia="zh-CN"/>
              </w:rPr>
            </w:pPr>
            <w:r>
              <w:rPr>
                <w:rFonts w:hint="default" w:ascii="Times New Roman" w:hAnsi="Times New Roman" w:eastAsia="宋体" w:cs="Times New Roman"/>
                <w:b/>
                <w:sz w:val="21"/>
                <w:szCs w:val="21"/>
                <w:lang w:val="en-US" w:eastAsia="zh-CN"/>
              </w:rPr>
              <w:t>2.产排污环节分析</w:t>
            </w:r>
          </w:p>
          <w:p>
            <w:pPr>
              <w:jc w:val="center"/>
              <w:rPr>
                <w:rFonts w:hint="default" w:ascii="Times New Roman" w:hAnsi="Times New Roman" w:eastAsia="宋体" w:cs="Times New Roman"/>
                <w:b/>
                <w:color w:val="auto"/>
                <w:sz w:val="21"/>
                <w:szCs w:val="21"/>
                <w:lang w:val="en-US" w:eastAsia="zh-CN"/>
              </w:rPr>
            </w:pPr>
            <w:r>
              <w:rPr>
                <w:rFonts w:hint="default" w:ascii="Times New Roman" w:hAnsi="Times New Roman" w:eastAsia="宋体" w:cs="Times New Roman"/>
                <w:b/>
                <w:color w:val="auto"/>
                <w:sz w:val="21"/>
                <w:szCs w:val="21"/>
              </w:rPr>
              <w:t>表2-</w:t>
            </w:r>
            <w:r>
              <w:rPr>
                <w:rFonts w:hint="default" w:ascii="Times New Roman" w:hAnsi="Times New Roman" w:eastAsia="宋体" w:cs="Times New Roman"/>
                <w:b/>
                <w:color w:val="auto"/>
                <w:sz w:val="21"/>
                <w:szCs w:val="21"/>
                <w:lang w:val="en-US" w:eastAsia="zh-CN"/>
              </w:rPr>
              <w:t>5</w:t>
            </w:r>
            <w:r>
              <w:rPr>
                <w:rFonts w:hint="default" w:ascii="Times New Roman" w:hAnsi="Times New Roman" w:eastAsia="宋体" w:cs="Times New Roman"/>
                <w:b/>
                <w:color w:val="auto"/>
                <w:sz w:val="21"/>
                <w:szCs w:val="21"/>
              </w:rPr>
              <w:t>项目产排污环节汇总表</w:t>
            </w:r>
          </w:p>
          <w:tbl>
            <w:tblPr>
              <w:tblStyle w:val="36"/>
              <w:tblW w:w="498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28" w:type="dxa"/>
                <w:bottom w:w="0" w:type="dxa"/>
                <w:right w:w="28" w:type="dxa"/>
              </w:tblCellMar>
            </w:tblPr>
            <w:tblGrid>
              <w:gridCol w:w="880"/>
              <w:gridCol w:w="828"/>
              <w:gridCol w:w="1764"/>
              <w:gridCol w:w="1310"/>
              <w:gridCol w:w="1597"/>
              <w:gridCol w:w="292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51" w:hRule="atLeast"/>
                <w:tblHeader/>
                <w:jc w:val="center"/>
              </w:trPr>
              <w:tc>
                <w:tcPr>
                  <w:tcW w:w="473" w:type="pct"/>
                  <w:noWrap w:val="0"/>
                  <w:vAlign w:val="center"/>
                </w:tcPr>
                <w:p>
                  <w:pPr>
                    <w:keepLines/>
                    <w:spacing w:line="30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类别</w:t>
                  </w:r>
                </w:p>
              </w:tc>
              <w:tc>
                <w:tcPr>
                  <w:tcW w:w="445" w:type="pct"/>
                  <w:noWrap w:val="0"/>
                  <w:vAlign w:val="center"/>
                </w:tcPr>
                <w:p>
                  <w:pPr>
                    <w:keepLines/>
                    <w:spacing w:line="30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编号</w:t>
                  </w:r>
                </w:p>
              </w:tc>
              <w:tc>
                <w:tcPr>
                  <w:tcW w:w="948" w:type="pct"/>
                  <w:noWrap w:val="0"/>
                  <w:vAlign w:val="center"/>
                </w:tcPr>
                <w:p>
                  <w:pPr>
                    <w:keepLines/>
                    <w:spacing w:line="30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产污工序</w:t>
                  </w:r>
                </w:p>
              </w:tc>
              <w:tc>
                <w:tcPr>
                  <w:tcW w:w="704" w:type="pct"/>
                  <w:noWrap w:val="0"/>
                  <w:vAlign w:val="center"/>
                </w:tcPr>
                <w:p>
                  <w:pPr>
                    <w:keepLines/>
                    <w:spacing w:line="30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产物名称</w:t>
                  </w:r>
                </w:p>
              </w:tc>
              <w:tc>
                <w:tcPr>
                  <w:tcW w:w="858" w:type="pct"/>
                  <w:noWrap w:val="0"/>
                  <w:vAlign w:val="center"/>
                </w:tcPr>
                <w:p>
                  <w:pPr>
                    <w:keepLines/>
                    <w:spacing w:line="30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主要污染物</w:t>
                  </w:r>
                </w:p>
              </w:tc>
              <w:tc>
                <w:tcPr>
                  <w:tcW w:w="1570" w:type="pct"/>
                  <w:noWrap w:val="0"/>
                  <w:vAlign w:val="center"/>
                </w:tcPr>
                <w:p>
                  <w:pPr>
                    <w:keepLines/>
                    <w:spacing w:line="300" w:lineRule="exact"/>
                    <w:jc w:val="center"/>
                    <w:rPr>
                      <w:rFonts w:hint="eastAsia" w:ascii="宋体" w:hAnsi="宋体" w:eastAsia="宋体" w:cs="宋体"/>
                      <w:color w:val="FF0000"/>
                      <w:sz w:val="18"/>
                      <w:szCs w:val="18"/>
                      <w:highlight w:val="none"/>
                    </w:rPr>
                  </w:pPr>
                  <w:r>
                    <w:rPr>
                      <w:rFonts w:hint="eastAsia" w:ascii="宋体" w:hAnsi="宋体" w:eastAsia="宋体" w:cs="宋体"/>
                      <w:color w:val="auto"/>
                      <w:sz w:val="18"/>
                      <w:szCs w:val="18"/>
                      <w:highlight w:val="none"/>
                    </w:rPr>
                    <w:t>防治措施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44" w:hRule="atLeast"/>
                <w:tblHeader/>
                <w:jc w:val="center"/>
              </w:trPr>
              <w:tc>
                <w:tcPr>
                  <w:tcW w:w="473" w:type="pct"/>
                  <w:noWrap w:val="0"/>
                  <w:vAlign w:val="center"/>
                </w:tcPr>
                <w:p>
                  <w:pPr>
                    <w:keepLines/>
                    <w:spacing w:line="30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废气</w:t>
                  </w:r>
                </w:p>
              </w:tc>
              <w:tc>
                <w:tcPr>
                  <w:tcW w:w="445" w:type="pct"/>
                  <w:noWrap w:val="0"/>
                  <w:vAlign w:val="center"/>
                </w:tcPr>
                <w:p>
                  <w:pPr>
                    <w:keepLines/>
                    <w:spacing w:line="30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G1</w:t>
                  </w:r>
                  <w:r>
                    <w:rPr>
                      <w:rFonts w:hint="eastAsia" w:ascii="宋体" w:hAnsi="宋体" w:eastAsia="宋体" w:cs="宋体"/>
                      <w:color w:val="auto"/>
                      <w:sz w:val="18"/>
                      <w:szCs w:val="18"/>
                      <w:highlight w:val="none"/>
                      <w:lang w:val="en-US" w:eastAsia="zh-CN"/>
                    </w:rPr>
                    <w:t>-1</w:t>
                  </w:r>
                </w:p>
              </w:tc>
              <w:tc>
                <w:tcPr>
                  <w:tcW w:w="948" w:type="pct"/>
                  <w:noWrap w:val="0"/>
                  <w:vAlign w:val="center"/>
                </w:tcPr>
                <w:p>
                  <w:pPr>
                    <w:keepLines/>
                    <w:spacing w:line="300" w:lineRule="exact"/>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化验、观察</w:t>
                  </w:r>
                </w:p>
              </w:tc>
              <w:tc>
                <w:tcPr>
                  <w:tcW w:w="704" w:type="pct"/>
                  <w:noWrap w:val="0"/>
                  <w:vAlign w:val="center"/>
                </w:tcPr>
                <w:p>
                  <w:pPr>
                    <w:keepLines/>
                    <w:spacing w:line="300" w:lineRule="exact"/>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臭气</w:t>
                  </w:r>
                </w:p>
              </w:tc>
              <w:tc>
                <w:tcPr>
                  <w:tcW w:w="858" w:type="pct"/>
                  <w:noWrap w:val="0"/>
                  <w:vAlign w:val="center"/>
                </w:tcPr>
                <w:p>
                  <w:pPr>
                    <w:keepLines/>
                    <w:spacing w:line="300" w:lineRule="exact"/>
                    <w:jc w:val="center"/>
                    <w:rPr>
                      <w:rFonts w:hint="eastAsia" w:ascii="宋体" w:hAnsi="宋体" w:eastAsia="宋体" w:cs="宋体"/>
                      <w:color w:val="auto"/>
                      <w:sz w:val="18"/>
                      <w:szCs w:val="18"/>
                      <w:highlight w:val="none"/>
                      <w:lang w:val="en-US"/>
                    </w:rPr>
                  </w:pPr>
                  <w:r>
                    <w:rPr>
                      <w:rFonts w:hint="eastAsia" w:ascii="宋体" w:hAnsi="宋体" w:eastAsia="宋体" w:cs="宋体"/>
                      <w:color w:val="auto"/>
                      <w:sz w:val="18"/>
                      <w:szCs w:val="18"/>
                      <w:highlight w:val="none"/>
                      <w:lang w:val="en-US" w:eastAsia="zh-CN"/>
                    </w:rPr>
                    <w:t>臭气浓度</w:t>
                  </w:r>
                </w:p>
              </w:tc>
              <w:tc>
                <w:tcPr>
                  <w:tcW w:w="1570" w:type="pct"/>
                  <w:noWrap w:val="0"/>
                  <w:vAlign w:val="center"/>
                </w:tcPr>
                <w:p>
                  <w:pPr>
                    <w:keepLines/>
                    <w:spacing w:line="300" w:lineRule="exact"/>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lang w:val="en-US" w:eastAsia="zh-CN"/>
                    </w:rPr>
                    <w:t>建设单位严加管理，及时将粪便收集并密闭暂存，做好消毒除臭，加强房间通风</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636" w:hRule="atLeast"/>
                <w:tblHeader/>
                <w:jc w:val="center"/>
              </w:trPr>
              <w:tc>
                <w:tcPr>
                  <w:tcW w:w="473" w:type="pct"/>
                  <w:vMerge w:val="restart"/>
                  <w:noWrap w:val="0"/>
                  <w:vAlign w:val="center"/>
                </w:tcPr>
                <w:p>
                  <w:pPr>
                    <w:keepLines/>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废水</w:t>
                  </w:r>
                </w:p>
              </w:tc>
              <w:tc>
                <w:tcPr>
                  <w:tcW w:w="445" w:type="pct"/>
                  <w:noWrap w:val="0"/>
                  <w:vAlign w:val="center"/>
                </w:tcPr>
                <w:p>
                  <w:pPr>
                    <w:keepLines/>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W1-3</w:t>
                  </w:r>
                </w:p>
              </w:tc>
              <w:tc>
                <w:tcPr>
                  <w:tcW w:w="948" w:type="pct"/>
                  <w:noWrap w:val="0"/>
                  <w:vAlign w:val="center"/>
                </w:tcPr>
                <w:p>
                  <w:pPr>
                    <w:keepLines/>
                    <w:spacing w:line="300" w:lineRule="exact"/>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日常生活</w:t>
                  </w:r>
                </w:p>
              </w:tc>
              <w:tc>
                <w:tcPr>
                  <w:tcW w:w="704" w:type="pct"/>
                  <w:noWrap w:val="0"/>
                  <w:vAlign w:val="center"/>
                </w:tcPr>
                <w:p>
                  <w:pPr>
                    <w:keepLines/>
                    <w:spacing w:line="30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生活污水</w:t>
                  </w:r>
                </w:p>
              </w:tc>
              <w:tc>
                <w:tcPr>
                  <w:tcW w:w="858" w:type="pct"/>
                  <w:noWrap w:val="0"/>
                  <w:vAlign w:val="center"/>
                </w:tcPr>
                <w:p>
                  <w:pPr>
                    <w:keepLines/>
                    <w:spacing w:line="300" w:lineRule="exact"/>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COD、SS、氨氮、总磷、总氮</w:t>
                  </w:r>
                </w:p>
              </w:tc>
              <w:tc>
                <w:tcPr>
                  <w:tcW w:w="1570" w:type="pct"/>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接管至太仓市城东污水处理厂集中处理，尾水排入新浏河</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18" w:hRule="atLeast"/>
                <w:tblHeader/>
                <w:jc w:val="center"/>
              </w:trPr>
              <w:tc>
                <w:tcPr>
                  <w:tcW w:w="473" w:type="pct"/>
                  <w:vMerge w:val="continue"/>
                  <w:noWrap w:val="0"/>
                  <w:vAlign w:val="center"/>
                </w:tcPr>
                <w:p>
                  <w:pPr>
                    <w:keepLines/>
                    <w:jc w:val="center"/>
                    <w:rPr>
                      <w:rFonts w:hint="eastAsia" w:ascii="宋体" w:hAnsi="宋体" w:eastAsia="宋体" w:cs="宋体"/>
                      <w:color w:val="auto"/>
                      <w:sz w:val="18"/>
                      <w:szCs w:val="18"/>
                      <w:highlight w:val="none"/>
                    </w:rPr>
                  </w:pPr>
                </w:p>
              </w:tc>
              <w:tc>
                <w:tcPr>
                  <w:tcW w:w="445" w:type="pct"/>
                  <w:noWrap w:val="0"/>
                  <w:vAlign w:val="center"/>
                </w:tcPr>
                <w:p>
                  <w:pPr>
                    <w:keepLines/>
                    <w:jc w:val="center"/>
                    <w:rPr>
                      <w:rFonts w:hint="eastAsia" w:ascii="宋体" w:hAnsi="宋体" w:eastAsia="宋体" w:cs="宋体"/>
                      <w:color w:val="auto"/>
                      <w:sz w:val="18"/>
                      <w:szCs w:val="18"/>
                      <w:highlight w:val="none"/>
                      <w:lang w:val="en-US"/>
                    </w:rPr>
                  </w:pPr>
                  <w:r>
                    <w:rPr>
                      <w:rFonts w:hint="eastAsia" w:ascii="宋体" w:hAnsi="宋体" w:eastAsia="宋体" w:cs="宋体"/>
                      <w:color w:val="auto"/>
                      <w:sz w:val="18"/>
                      <w:szCs w:val="18"/>
                      <w:highlight w:val="none"/>
                      <w:lang w:val="en-US" w:eastAsia="zh-CN"/>
                    </w:rPr>
                    <w:t>W1-1</w:t>
                  </w:r>
                </w:p>
              </w:tc>
              <w:tc>
                <w:tcPr>
                  <w:tcW w:w="948" w:type="pct"/>
                  <w:noWrap w:val="0"/>
                  <w:vAlign w:val="center"/>
                </w:tcPr>
                <w:p>
                  <w:pPr>
                    <w:keepLines/>
                    <w:spacing w:line="300" w:lineRule="exact"/>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诊疗过程</w:t>
                  </w:r>
                </w:p>
              </w:tc>
              <w:tc>
                <w:tcPr>
                  <w:tcW w:w="704" w:type="pct"/>
                  <w:noWrap w:val="0"/>
                  <w:vAlign w:val="center"/>
                </w:tcPr>
                <w:p>
                  <w:pPr>
                    <w:keepLines/>
                    <w:spacing w:line="30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医疗废水</w:t>
                  </w:r>
                </w:p>
              </w:tc>
              <w:tc>
                <w:tcPr>
                  <w:tcW w:w="858" w:type="pct"/>
                  <w:noWrap w:val="0"/>
                  <w:vAlign w:val="center"/>
                </w:tcPr>
                <w:p>
                  <w:pPr>
                    <w:keepLines/>
                    <w:spacing w:line="300" w:lineRule="exact"/>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COD、SS、粪大肠菌群、LAS、总余氯</w:t>
                  </w:r>
                </w:p>
              </w:tc>
              <w:tc>
                <w:tcPr>
                  <w:tcW w:w="1570" w:type="pct"/>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lang w:val="en-US" w:eastAsia="zh-CN"/>
                    </w:rPr>
                    <w:t>预处理消毒后排入市政管网</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414" w:hRule="atLeast"/>
                <w:tblHeader/>
                <w:jc w:val="center"/>
              </w:trPr>
              <w:tc>
                <w:tcPr>
                  <w:tcW w:w="473" w:type="pct"/>
                  <w:vMerge w:val="continue"/>
                  <w:noWrap w:val="0"/>
                  <w:vAlign w:val="center"/>
                </w:tcPr>
                <w:p>
                  <w:pPr>
                    <w:keepLines/>
                    <w:jc w:val="center"/>
                    <w:rPr>
                      <w:rFonts w:hint="eastAsia" w:ascii="宋体" w:hAnsi="宋体" w:eastAsia="宋体" w:cs="宋体"/>
                      <w:color w:val="auto"/>
                      <w:sz w:val="18"/>
                      <w:szCs w:val="18"/>
                      <w:highlight w:val="none"/>
                    </w:rPr>
                  </w:pPr>
                </w:p>
              </w:tc>
              <w:tc>
                <w:tcPr>
                  <w:tcW w:w="445" w:type="pct"/>
                  <w:noWrap w:val="0"/>
                  <w:vAlign w:val="center"/>
                </w:tcPr>
                <w:p>
                  <w:pPr>
                    <w:keepLines/>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W1-2</w:t>
                  </w:r>
                </w:p>
              </w:tc>
              <w:tc>
                <w:tcPr>
                  <w:tcW w:w="948" w:type="pct"/>
                  <w:noWrap w:val="0"/>
                  <w:vAlign w:val="center"/>
                </w:tcPr>
                <w:p>
                  <w:pPr>
                    <w:keepLines/>
                    <w:spacing w:line="300" w:lineRule="exact"/>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动物清洗</w:t>
                  </w:r>
                </w:p>
              </w:tc>
              <w:tc>
                <w:tcPr>
                  <w:tcW w:w="704" w:type="pct"/>
                  <w:noWrap w:val="0"/>
                  <w:vAlign w:val="center"/>
                </w:tcPr>
                <w:p>
                  <w:pPr>
                    <w:keepLines/>
                    <w:spacing w:line="300" w:lineRule="exact"/>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洗浴废水</w:t>
                  </w:r>
                </w:p>
              </w:tc>
              <w:tc>
                <w:tcPr>
                  <w:tcW w:w="858" w:type="pct"/>
                  <w:noWrap w:val="0"/>
                  <w:vAlign w:val="center"/>
                </w:tcPr>
                <w:p>
                  <w:pPr>
                    <w:keepLines/>
                    <w:spacing w:line="300" w:lineRule="exact"/>
                    <w:jc w:val="center"/>
                    <w:rPr>
                      <w:rFonts w:hint="eastAsia" w:ascii="宋体" w:hAnsi="宋体" w:eastAsia="宋体" w:cs="宋体"/>
                      <w:color w:val="auto"/>
                      <w:sz w:val="18"/>
                      <w:szCs w:val="18"/>
                      <w:highlight w:val="none"/>
                      <w:lang w:val="en-US"/>
                    </w:rPr>
                  </w:pPr>
                  <w:r>
                    <w:rPr>
                      <w:rFonts w:hint="eastAsia" w:ascii="宋体" w:hAnsi="宋体" w:eastAsia="宋体" w:cs="宋体"/>
                      <w:color w:val="auto"/>
                      <w:sz w:val="18"/>
                      <w:szCs w:val="18"/>
                      <w:highlight w:val="none"/>
                      <w:lang w:val="en-US" w:eastAsia="zh-CN"/>
                    </w:rPr>
                    <w:t>COD、SS、氨氮、总磷、总、LAS</w:t>
                  </w:r>
                </w:p>
              </w:tc>
              <w:tc>
                <w:tcPr>
                  <w:tcW w:w="1570" w:type="pct"/>
                  <w:noWrap w:val="0"/>
                  <w:vAlign w:val="center"/>
                </w:tcPr>
                <w:p>
                  <w:pPr>
                    <w:widowControl/>
                    <w:jc w:val="center"/>
                    <w:rPr>
                      <w:rFonts w:hint="eastAsia" w:ascii="宋体" w:hAnsi="宋体" w:eastAsia="宋体" w:cs="宋体"/>
                      <w:color w:val="auto"/>
                      <w:sz w:val="18"/>
                      <w:szCs w:val="18"/>
                      <w:highlight w:val="none"/>
                      <w:lang w:val="en-US" w:eastAsia="zh-CN"/>
                    </w:rPr>
                  </w:pPr>
                  <w:r>
                    <w:rPr>
                      <w:rFonts w:hint="eastAsia" w:ascii="宋体" w:hAnsi="宋体" w:eastAsia="宋体" w:cs="宋体"/>
                      <w:sz w:val="18"/>
                      <w:szCs w:val="18"/>
                    </w:rPr>
                    <w:t>接管至太仓市城东污水处理厂集中处理，尾水排入新浏河</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636" w:hRule="atLeast"/>
                <w:tblHeader/>
                <w:jc w:val="center"/>
              </w:trPr>
              <w:tc>
                <w:tcPr>
                  <w:tcW w:w="473" w:type="pct"/>
                  <w:noWrap w:val="0"/>
                  <w:vAlign w:val="center"/>
                </w:tcPr>
                <w:p>
                  <w:pPr>
                    <w:keepLines/>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噪声</w:t>
                  </w:r>
                </w:p>
              </w:tc>
              <w:tc>
                <w:tcPr>
                  <w:tcW w:w="445" w:type="pct"/>
                  <w:noWrap w:val="0"/>
                  <w:vAlign w:val="center"/>
                </w:tcPr>
                <w:p>
                  <w:pPr>
                    <w:keepLines/>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N1</w:t>
                  </w:r>
                </w:p>
              </w:tc>
              <w:tc>
                <w:tcPr>
                  <w:tcW w:w="948" w:type="pct"/>
                  <w:noWrap w:val="0"/>
                  <w:vAlign w:val="center"/>
                </w:tcPr>
                <w:p>
                  <w:pPr>
                    <w:keepLines/>
                    <w:spacing w:line="300" w:lineRule="exact"/>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宠物叫声</w:t>
                  </w:r>
                </w:p>
              </w:tc>
              <w:tc>
                <w:tcPr>
                  <w:tcW w:w="704" w:type="pct"/>
                  <w:noWrap w:val="0"/>
                  <w:vAlign w:val="center"/>
                </w:tcPr>
                <w:p>
                  <w:pPr>
                    <w:keepLines/>
                    <w:spacing w:line="30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噪声</w:t>
                  </w:r>
                </w:p>
              </w:tc>
              <w:tc>
                <w:tcPr>
                  <w:tcW w:w="858" w:type="pct"/>
                  <w:noWrap w:val="0"/>
                  <w:vAlign w:val="center"/>
                </w:tcPr>
                <w:p>
                  <w:pPr>
                    <w:keepLines/>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噪声</w:t>
                  </w:r>
                </w:p>
              </w:tc>
              <w:tc>
                <w:tcPr>
                  <w:tcW w:w="1570" w:type="pct"/>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sz w:val="18"/>
                      <w:szCs w:val="18"/>
                    </w:rPr>
                    <w:t>采取合理布局，以及隔声距离衰减等措施。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41" w:hRule="atLeast"/>
                <w:tblHeader/>
                <w:jc w:val="center"/>
              </w:trPr>
              <w:tc>
                <w:tcPr>
                  <w:tcW w:w="473" w:type="pct"/>
                  <w:vMerge w:val="restart"/>
                  <w:noWrap w:val="0"/>
                  <w:vAlign w:val="center"/>
                </w:tcPr>
                <w:p>
                  <w:pPr>
                    <w:keepLines/>
                    <w:spacing w:line="30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固体废物</w:t>
                  </w:r>
                </w:p>
              </w:tc>
              <w:tc>
                <w:tcPr>
                  <w:tcW w:w="445" w:type="pct"/>
                  <w:vMerge w:val="restart"/>
                  <w:noWrap w:val="0"/>
                  <w:vAlign w:val="center"/>
                </w:tcPr>
                <w:p>
                  <w:pPr>
                    <w:keepLines/>
                    <w:spacing w:line="300" w:lineRule="exact"/>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S1-1</w:t>
                  </w:r>
                </w:p>
              </w:tc>
              <w:tc>
                <w:tcPr>
                  <w:tcW w:w="948" w:type="pct"/>
                  <w:vMerge w:val="restart"/>
                  <w:noWrap w:val="0"/>
                  <w:vAlign w:val="center"/>
                </w:tcPr>
                <w:p>
                  <w:pPr>
                    <w:keepLines/>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诊疗过程</w:t>
                  </w:r>
                </w:p>
              </w:tc>
              <w:tc>
                <w:tcPr>
                  <w:tcW w:w="704" w:type="pct"/>
                  <w:vMerge w:val="restart"/>
                  <w:noWrap w:val="0"/>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医疗废物</w:t>
                  </w:r>
                </w:p>
              </w:tc>
              <w:tc>
                <w:tcPr>
                  <w:tcW w:w="858" w:type="pct"/>
                  <w:noWrap w:val="0"/>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感染性废物</w:t>
                  </w:r>
                </w:p>
              </w:tc>
              <w:tc>
                <w:tcPr>
                  <w:tcW w:w="1570" w:type="pct"/>
                  <w:vMerge w:val="restart"/>
                  <w:noWrap w:val="0"/>
                  <w:vAlign w:val="center"/>
                </w:tcPr>
                <w:p>
                  <w:pPr>
                    <w:keepLines/>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委托资质单位处理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130" w:hRule="atLeast"/>
                <w:tblHeader/>
                <w:jc w:val="center"/>
              </w:trPr>
              <w:tc>
                <w:tcPr>
                  <w:tcW w:w="473" w:type="pct"/>
                  <w:vMerge w:val="continue"/>
                  <w:noWrap w:val="0"/>
                  <w:vAlign w:val="center"/>
                </w:tcPr>
                <w:p>
                  <w:pPr>
                    <w:keepLines/>
                    <w:spacing w:line="300" w:lineRule="exact"/>
                    <w:jc w:val="center"/>
                    <w:rPr>
                      <w:rFonts w:hint="eastAsia" w:ascii="宋体" w:hAnsi="宋体" w:eastAsia="宋体" w:cs="宋体"/>
                      <w:color w:val="auto"/>
                      <w:sz w:val="18"/>
                      <w:szCs w:val="18"/>
                      <w:highlight w:val="none"/>
                    </w:rPr>
                  </w:pPr>
                </w:p>
              </w:tc>
              <w:tc>
                <w:tcPr>
                  <w:tcW w:w="445" w:type="pct"/>
                  <w:vMerge w:val="continue"/>
                  <w:noWrap w:val="0"/>
                  <w:vAlign w:val="center"/>
                </w:tcPr>
                <w:p>
                  <w:pPr>
                    <w:keepLines/>
                    <w:spacing w:line="300" w:lineRule="exact"/>
                    <w:jc w:val="center"/>
                    <w:rPr>
                      <w:rFonts w:hint="eastAsia" w:ascii="宋体" w:hAnsi="宋体" w:eastAsia="宋体" w:cs="宋体"/>
                      <w:color w:val="auto"/>
                      <w:sz w:val="18"/>
                      <w:szCs w:val="18"/>
                      <w:highlight w:val="none"/>
                      <w:lang w:val="en-US" w:eastAsia="zh-CN"/>
                    </w:rPr>
                  </w:pPr>
                </w:p>
              </w:tc>
              <w:tc>
                <w:tcPr>
                  <w:tcW w:w="948" w:type="pct"/>
                  <w:vMerge w:val="continue"/>
                  <w:noWrap w:val="0"/>
                  <w:vAlign w:val="center"/>
                </w:tcPr>
                <w:p>
                  <w:pPr>
                    <w:keepLines/>
                    <w:jc w:val="center"/>
                    <w:rPr>
                      <w:rFonts w:hint="eastAsia" w:ascii="宋体" w:hAnsi="宋体" w:eastAsia="宋体" w:cs="宋体"/>
                      <w:color w:val="auto"/>
                      <w:sz w:val="18"/>
                      <w:szCs w:val="18"/>
                      <w:highlight w:val="none"/>
                      <w:lang w:val="en-US" w:eastAsia="zh-CN"/>
                    </w:rPr>
                  </w:pPr>
                </w:p>
              </w:tc>
              <w:tc>
                <w:tcPr>
                  <w:tcW w:w="704" w:type="pct"/>
                  <w:vMerge w:val="continue"/>
                  <w:noWrap w:val="0"/>
                  <w:vAlign w:val="center"/>
                </w:tcPr>
                <w:p>
                  <w:pPr>
                    <w:jc w:val="center"/>
                    <w:rPr>
                      <w:rFonts w:hint="eastAsia" w:ascii="宋体" w:hAnsi="宋体" w:eastAsia="宋体" w:cs="宋体"/>
                      <w:color w:val="auto"/>
                      <w:kern w:val="2"/>
                      <w:sz w:val="18"/>
                      <w:szCs w:val="18"/>
                      <w:lang w:val="en-US" w:eastAsia="zh-CN" w:bidi="ar-SA"/>
                    </w:rPr>
                  </w:pPr>
                </w:p>
              </w:tc>
              <w:tc>
                <w:tcPr>
                  <w:tcW w:w="858" w:type="pct"/>
                  <w:noWrap w:val="0"/>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病理性废物</w:t>
                  </w:r>
                </w:p>
              </w:tc>
              <w:tc>
                <w:tcPr>
                  <w:tcW w:w="1570" w:type="pct"/>
                  <w:vMerge w:val="continue"/>
                  <w:noWrap w:val="0"/>
                  <w:vAlign w:val="center"/>
                </w:tcPr>
                <w:p>
                  <w:pPr>
                    <w:keepLines/>
                    <w:jc w:val="center"/>
                    <w:textAlignment w:val="center"/>
                    <w:rPr>
                      <w:rFonts w:hint="eastAsia" w:ascii="宋体" w:hAnsi="宋体" w:eastAsia="宋体" w:cs="宋体"/>
                      <w:color w:val="auto"/>
                      <w:sz w:val="18"/>
                      <w:szCs w:val="18"/>
                      <w:highlight w:val="none"/>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90" w:hRule="atLeast"/>
                <w:tblHeader/>
                <w:jc w:val="center"/>
              </w:trPr>
              <w:tc>
                <w:tcPr>
                  <w:tcW w:w="473" w:type="pct"/>
                  <w:vMerge w:val="continue"/>
                  <w:noWrap w:val="0"/>
                  <w:vAlign w:val="center"/>
                </w:tcPr>
                <w:p>
                  <w:pPr>
                    <w:keepLines/>
                    <w:spacing w:line="300" w:lineRule="exact"/>
                    <w:jc w:val="center"/>
                    <w:rPr>
                      <w:rFonts w:hint="eastAsia" w:ascii="宋体" w:hAnsi="宋体" w:eastAsia="宋体" w:cs="宋体"/>
                      <w:color w:val="auto"/>
                      <w:sz w:val="18"/>
                      <w:szCs w:val="18"/>
                      <w:highlight w:val="none"/>
                    </w:rPr>
                  </w:pPr>
                </w:p>
              </w:tc>
              <w:tc>
                <w:tcPr>
                  <w:tcW w:w="445" w:type="pct"/>
                  <w:vMerge w:val="restart"/>
                  <w:noWrap w:val="0"/>
                  <w:vAlign w:val="center"/>
                </w:tcPr>
                <w:p>
                  <w:pPr>
                    <w:keepLines/>
                    <w:spacing w:line="300" w:lineRule="exact"/>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S2</w:t>
                  </w:r>
                </w:p>
              </w:tc>
              <w:tc>
                <w:tcPr>
                  <w:tcW w:w="948" w:type="pct"/>
                  <w:noWrap w:val="0"/>
                  <w:vAlign w:val="center"/>
                </w:tcPr>
                <w:p>
                  <w:pPr>
                    <w:keepLines/>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寄养、住院</w:t>
                  </w:r>
                </w:p>
              </w:tc>
              <w:tc>
                <w:tcPr>
                  <w:tcW w:w="704" w:type="pct"/>
                  <w:noWrap w:val="0"/>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一般固废</w:t>
                  </w:r>
                </w:p>
              </w:tc>
              <w:tc>
                <w:tcPr>
                  <w:tcW w:w="858" w:type="pct"/>
                  <w:noWrap w:val="0"/>
                  <w:vAlign w:val="center"/>
                </w:tcPr>
                <w:p>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动物粪便</w:t>
                  </w:r>
                </w:p>
              </w:tc>
              <w:tc>
                <w:tcPr>
                  <w:tcW w:w="1570" w:type="pct"/>
                  <w:noWrap w:val="0"/>
                  <w:vAlign w:val="center"/>
                </w:tcPr>
                <w:p>
                  <w:pPr>
                    <w:keepLines/>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lang w:val="en-US" w:eastAsia="zh-CN"/>
                    </w:rPr>
                    <w:t>统一收集环卫定期清运</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28" w:type="dxa"/>
                  <w:bottom w:w="0" w:type="dxa"/>
                  <w:right w:w="28" w:type="dxa"/>
                </w:tblCellMar>
              </w:tblPrEx>
              <w:trPr>
                <w:trHeight w:val="308" w:hRule="atLeast"/>
                <w:tblHeader/>
                <w:jc w:val="center"/>
              </w:trPr>
              <w:tc>
                <w:tcPr>
                  <w:tcW w:w="473" w:type="pct"/>
                  <w:vMerge w:val="continue"/>
                  <w:noWrap w:val="0"/>
                  <w:vAlign w:val="center"/>
                </w:tcPr>
                <w:p>
                  <w:pPr>
                    <w:keepLines/>
                    <w:jc w:val="center"/>
                    <w:rPr>
                      <w:rFonts w:hint="eastAsia" w:ascii="宋体" w:hAnsi="宋体" w:eastAsia="宋体" w:cs="宋体"/>
                      <w:color w:val="auto"/>
                      <w:sz w:val="18"/>
                      <w:szCs w:val="18"/>
                      <w:highlight w:val="none"/>
                    </w:rPr>
                  </w:pPr>
                </w:p>
              </w:tc>
              <w:tc>
                <w:tcPr>
                  <w:tcW w:w="445" w:type="pct"/>
                  <w:vMerge w:val="continue"/>
                  <w:noWrap w:val="0"/>
                  <w:vAlign w:val="center"/>
                </w:tcPr>
                <w:p>
                  <w:pPr>
                    <w:keepLines/>
                    <w:spacing w:line="300" w:lineRule="exact"/>
                    <w:jc w:val="center"/>
                    <w:rPr>
                      <w:rFonts w:hint="eastAsia" w:ascii="宋体" w:hAnsi="宋体" w:eastAsia="宋体" w:cs="宋体"/>
                      <w:color w:val="auto"/>
                      <w:sz w:val="18"/>
                      <w:szCs w:val="18"/>
                      <w:highlight w:val="none"/>
                      <w:lang w:val="en-US" w:eastAsia="zh-CN"/>
                    </w:rPr>
                  </w:pPr>
                </w:p>
              </w:tc>
              <w:tc>
                <w:tcPr>
                  <w:tcW w:w="948" w:type="pct"/>
                  <w:noWrap w:val="0"/>
                  <w:vAlign w:val="center"/>
                </w:tcPr>
                <w:p>
                  <w:pPr>
                    <w:keepLines/>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员工生活办公</w:t>
                  </w:r>
                </w:p>
              </w:tc>
              <w:tc>
                <w:tcPr>
                  <w:tcW w:w="704" w:type="pct"/>
                  <w:noWrap w:val="0"/>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生活垃圾</w:t>
                  </w:r>
                </w:p>
              </w:tc>
              <w:tc>
                <w:tcPr>
                  <w:tcW w:w="858" w:type="pct"/>
                  <w:noWrap w:val="0"/>
                  <w:vAlign w:val="center"/>
                </w:tcPr>
                <w:p>
                  <w:pPr>
                    <w:keepLines/>
                    <w:jc w:val="center"/>
                    <w:textAlignment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纸屑果皮</w:t>
                  </w:r>
                </w:p>
              </w:tc>
              <w:tc>
                <w:tcPr>
                  <w:tcW w:w="1570" w:type="pct"/>
                  <w:noWrap w:val="0"/>
                  <w:vAlign w:val="center"/>
                </w:tcPr>
                <w:p>
                  <w:pPr>
                    <w:widowControl/>
                    <w:jc w:val="center"/>
                    <w:rPr>
                      <w:rFonts w:hint="eastAsia" w:ascii="宋体" w:hAnsi="宋体" w:eastAsia="宋体" w:cs="宋体"/>
                      <w:color w:val="auto"/>
                      <w:sz w:val="18"/>
                      <w:szCs w:val="18"/>
                      <w:highlight w:val="none"/>
                      <w:lang w:val="en-US"/>
                    </w:rPr>
                  </w:pPr>
                  <w:r>
                    <w:rPr>
                      <w:rFonts w:hint="eastAsia" w:ascii="宋体" w:hAnsi="宋体" w:eastAsia="宋体" w:cs="宋体"/>
                      <w:color w:val="auto"/>
                      <w:sz w:val="18"/>
                      <w:szCs w:val="18"/>
                      <w:lang w:val="en-US" w:eastAsia="zh-CN"/>
                    </w:rPr>
                    <w:t>统一收集环卫定期清运</w:t>
                  </w:r>
                </w:p>
              </w:tc>
            </w:tr>
          </w:tbl>
          <w:p>
            <w:pPr>
              <w:autoSpaceDE w:val="0"/>
              <w:autoSpaceDN w:val="0"/>
              <w:spacing w:line="360" w:lineRule="auto"/>
              <w:jc w:val="left"/>
              <w:rPr>
                <w:rFonts w:hint="default" w:ascii="宋体" w:hAnsi="宋体" w:eastAsia="宋体"/>
                <w:szCs w:val="21"/>
                <w:lang w:val="en-US" w:eastAsia="zh-CN"/>
              </w:rPr>
            </w:pPr>
          </w:p>
        </w:tc>
      </w:tr>
    </w:tbl>
    <w:p>
      <w:pPr>
        <w:pStyle w:val="32"/>
        <w:adjustRightInd w:val="0"/>
        <w:snapToGrid w:val="0"/>
        <w:spacing w:before="0" w:beforeAutospacing="0" w:after="0" w:afterAutospacing="0" w:line="360" w:lineRule="auto"/>
        <w:jc w:val="both"/>
        <w:rPr>
          <w:rFonts w:ascii="Times New Roman" w:hAnsi="Times New Roman"/>
          <w:bCs/>
          <w:kern w:val="2"/>
          <w:sz w:val="21"/>
          <w:szCs w:val="21"/>
        </w:rPr>
      </w:pPr>
    </w:p>
    <w:tbl>
      <w:tblPr>
        <w:tblStyle w:val="36"/>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37"/>
        <w:gridCol w:w="932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37" w:type="dxa"/>
            <w:vAlign w:val="center"/>
          </w:tcPr>
          <w:p>
            <w:pPr>
              <w:pStyle w:val="32"/>
              <w:adjustRightInd w:val="0"/>
              <w:snapToGrid w:val="0"/>
              <w:spacing w:before="0" w:beforeAutospacing="0" w:after="0" w:afterAutospacing="0" w:line="360" w:lineRule="auto"/>
              <w:jc w:val="center"/>
              <w:rPr>
                <w:rFonts w:ascii="Times New Roman" w:hAnsi="Times New Roman"/>
                <w:sz w:val="21"/>
                <w:szCs w:val="21"/>
              </w:rPr>
            </w:pPr>
            <w:r>
              <w:rPr>
                <w:rFonts w:ascii="Times New Roman" w:hAnsi="Times New Roman"/>
                <w:bCs/>
                <w:kern w:val="2"/>
                <w:sz w:val="21"/>
                <w:szCs w:val="21"/>
              </w:rPr>
              <w:t>与项目有关的原有环境污染问题</w:t>
            </w:r>
          </w:p>
        </w:tc>
        <w:tc>
          <w:tcPr>
            <w:tcW w:w="9325" w:type="dxa"/>
            <w:vAlign w:val="center"/>
          </w:tcPr>
          <w:p>
            <w:pPr>
              <w:numPr>
                <w:ilvl w:val="0"/>
                <w:numId w:val="0"/>
              </w:numPr>
              <w:adjustRightInd w:val="0"/>
              <w:snapToGrid w:val="0"/>
              <w:spacing w:line="360" w:lineRule="auto"/>
              <w:ind w:leftChars="0"/>
              <w:rPr>
                <w:rFonts w:hint="eastAsia" w:ascii="宋体" w:hAnsi="宋体" w:eastAsia="宋体" w:cs="宋体"/>
                <w:b/>
                <w:bCs/>
                <w:spacing w:val="6"/>
                <w:sz w:val="21"/>
                <w:szCs w:val="21"/>
                <w:highlight w:val="none"/>
                <w:shd w:val="clear" w:color="auto" w:fill="FFFFFF"/>
              </w:rPr>
            </w:pPr>
            <w:r>
              <w:rPr>
                <w:rFonts w:hint="eastAsia" w:ascii="宋体" w:hAnsi="宋体"/>
                <w:b/>
                <w:bCs/>
                <w:spacing w:val="6"/>
                <w:szCs w:val="21"/>
                <w:highlight w:val="none"/>
                <w:shd w:val="clear" w:color="auto" w:fill="FFFFFF"/>
                <w:lang w:val="en-US" w:eastAsia="zh-CN"/>
              </w:rPr>
              <w:t>1</w:t>
            </w:r>
            <w:r>
              <w:rPr>
                <w:rFonts w:hint="eastAsia" w:ascii="宋体" w:hAnsi="宋体" w:eastAsia="宋体" w:cs="宋体"/>
                <w:b/>
                <w:bCs/>
                <w:spacing w:val="6"/>
                <w:sz w:val="21"/>
                <w:szCs w:val="21"/>
                <w:highlight w:val="none"/>
                <w:shd w:val="clear" w:color="auto" w:fill="FFFFFF"/>
                <w:lang w:val="en-US" w:eastAsia="zh-CN"/>
              </w:rPr>
              <w:t>、</w:t>
            </w:r>
            <w:r>
              <w:rPr>
                <w:rFonts w:hint="eastAsia" w:ascii="宋体" w:hAnsi="宋体" w:eastAsia="宋体" w:cs="宋体"/>
                <w:b/>
                <w:bCs/>
                <w:spacing w:val="6"/>
                <w:sz w:val="21"/>
                <w:szCs w:val="21"/>
                <w:highlight w:val="none"/>
                <w:shd w:val="clear" w:color="auto" w:fill="FFFFFF"/>
              </w:rPr>
              <w:t>现有项目概况</w:t>
            </w:r>
          </w:p>
          <w:p>
            <w:pPr>
              <w:wordWrap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建设项目为新建项目，无原有污染情况存在。</w:t>
            </w:r>
          </w:p>
          <w:p>
            <w:pPr>
              <w:adjustRightInd w:val="0"/>
              <w:snapToGrid w:val="0"/>
              <w:spacing w:line="360" w:lineRule="auto"/>
              <w:ind w:firstLine="420" w:firstLineChars="200"/>
              <w:rPr>
                <w:szCs w:val="21"/>
                <w:lang w:val="zh-CN"/>
              </w:rPr>
            </w:pPr>
          </w:p>
        </w:tc>
      </w:tr>
    </w:tbl>
    <w:p>
      <w:pPr>
        <w:pStyle w:val="32"/>
        <w:jc w:val="center"/>
        <w:rPr>
          <w:rFonts w:ascii="Times New Roman" w:hAnsi="Times New Roman"/>
          <w:snapToGrid w:val="0"/>
          <w:color w:val="FF0000"/>
          <w:sz w:val="36"/>
          <w:szCs w:val="36"/>
        </w:rPr>
        <w:sectPr>
          <w:pgSz w:w="11906" w:h="16838"/>
          <w:pgMar w:top="1440" w:right="1080" w:bottom="1440" w:left="1080" w:header="851" w:footer="851" w:gutter="0"/>
          <w:cols w:space="720" w:num="1"/>
          <w:docGrid w:linePitch="312" w:charSpace="0"/>
        </w:sectPr>
      </w:pPr>
    </w:p>
    <w:p>
      <w:pPr>
        <w:pStyle w:val="32"/>
        <w:jc w:val="center"/>
        <w:outlineLvl w:val="0"/>
        <w:rPr>
          <w:rFonts w:ascii="黑体" w:hAnsi="黑体" w:eastAsia="黑体"/>
          <w:bCs/>
          <w:snapToGrid w:val="0"/>
          <w:sz w:val="30"/>
          <w:szCs w:val="30"/>
        </w:rPr>
      </w:pPr>
      <w:r>
        <w:rPr>
          <w:rFonts w:ascii="黑体" w:hAnsi="黑体" w:eastAsia="黑体"/>
          <w:bCs/>
          <w:snapToGrid w:val="0"/>
          <w:sz w:val="30"/>
          <w:szCs w:val="30"/>
        </w:rPr>
        <w:t>三、区域环境质量现状、环境保护目标及评价标准</w:t>
      </w:r>
    </w:p>
    <w:tbl>
      <w:tblPr>
        <w:tblStyle w:val="36"/>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925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355" w:type="pct"/>
            <w:vAlign w:val="center"/>
          </w:tcPr>
          <w:p>
            <w:pPr>
              <w:adjustRightInd w:val="0"/>
              <w:snapToGrid w:val="0"/>
              <w:spacing w:line="360" w:lineRule="auto"/>
              <w:jc w:val="center"/>
              <w:rPr>
                <w:rFonts w:ascii="宋体" w:hAnsi="宋体"/>
                <w:kern w:val="0"/>
                <w:szCs w:val="21"/>
              </w:rPr>
            </w:pPr>
            <w:r>
              <w:rPr>
                <w:rFonts w:ascii="宋体" w:hAnsi="宋体"/>
                <w:kern w:val="0"/>
                <w:szCs w:val="21"/>
              </w:rPr>
              <w:t>区域</w:t>
            </w:r>
          </w:p>
          <w:p>
            <w:pPr>
              <w:adjustRightInd w:val="0"/>
              <w:snapToGrid w:val="0"/>
              <w:spacing w:line="360" w:lineRule="auto"/>
              <w:jc w:val="center"/>
              <w:rPr>
                <w:rFonts w:ascii="宋体" w:hAnsi="宋体"/>
                <w:kern w:val="0"/>
                <w:szCs w:val="21"/>
              </w:rPr>
            </w:pPr>
            <w:r>
              <w:rPr>
                <w:rFonts w:ascii="宋体" w:hAnsi="宋体"/>
                <w:kern w:val="0"/>
                <w:szCs w:val="21"/>
              </w:rPr>
              <w:t>环境</w:t>
            </w:r>
          </w:p>
          <w:p>
            <w:pPr>
              <w:adjustRightInd w:val="0"/>
              <w:snapToGrid w:val="0"/>
              <w:spacing w:line="360" w:lineRule="auto"/>
              <w:jc w:val="center"/>
              <w:rPr>
                <w:rFonts w:ascii="宋体" w:hAnsi="宋体"/>
                <w:kern w:val="0"/>
                <w:szCs w:val="21"/>
              </w:rPr>
            </w:pPr>
            <w:r>
              <w:rPr>
                <w:rFonts w:ascii="宋体" w:hAnsi="宋体"/>
                <w:kern w:val="0"/>
                <w:szCs w:val="21"/>
              </w:rPr>
              <w:t>质量</w:t>
            </w:r>
          </w:p>
          <w:p>
            <w:pPr>
              <w:adjustRightInd w:val="0"/>
              <w:snapToGrid w:val="0"/>
              <w:spacing w:line="360" w:lineRule="auto"/>
              <w:jc w:val="center"/>
              <w:rPr>
                <w:color w:val="FF0000"/>
                <w:kern w:val="0"/>
                <w:szCs w:val="21"/>
              </w:rPr>
            </w:pPr>
            <w:r>
              <w:rPr>
                <w:rFonts w:ascii="宋体" w:hAnsi="宋体"/>
                <w:kern w:val="0"/>
                <w:szCs w:val="21"/>
              </w:rPr>
              <w:t>现状</w:t>
            </w:r>
          </w:p>
        </w:tc>
        <w:tc>
          <w:tcPr>
            <w:tcW w:w="4644" w:type="pct"/>
            <w:vAlign w:val="center"/>
          </w:tcPr>
          <w:p>
            <w:pPr>
              <w:widowControl/>
              <w:shd w:val="clear" w:color="auto" w:fill="FFFFFF"/>
              <w:spacing w:line="360" w:lineRule="auto"/>
              <w:rPr>
                <w:rFonts w:hint="default" w:ascii="Times New Roman" w:hAnsi="Times New Roman" w:eastAsia="宋体" w:cs="Times New Roman"/>
                <w:b/>
                <w:spacing w:val="8"/>
                <w:kern w:val="0"/>
                <w:sz w:val="21"/>
                <w:szCs w:val="21"/>
              </w:rPr>
            </w:pPr>
            <w:r>
              <w:rPr>
                <w:rFonts w:hint="default" w:ascii="Times New Roman" w:hAnsi="Times New Roman" w:eastAsia="宋体" w:cs="Times New Roman"/>
                <w:b/>
                <w:spacing w:val="8"/>
                <w:kern w:val="0"/>
                <w:sz w:val="21"/>
                <w:szCs w:val="21"/>
              </w:rPr>
              <w:t>1、大气环境</w:t>
            </w:r>
          </w:p>
          <w:p>
            <w:pPr>
              <w:widowControl/>
              <w:shd w:val="clear" w:color="auto" w:fill="FFFFFF"/>
              <w:spacing w:line="360" w:lineRule="auto"/>
              <w:ind w:firstLine="226" w:firstLineChars="100"/>
              <w:rPr>
                <w:rFonts w:hint="default" w:ascii="Times New Roman" w:hAnsi="Times New Roman" w:eastAsia="宋体" w:cs="Times New Roman"/>
                <w:spacing w:val="8"/>
                <w:kern w:val="0"/>
                <w:sz w:val="21"/>
                <w:szCs w:val="21"/>
              </w:rPr>
            </w:pPr>
            <w:r>
              <w:rPr>
                <w:rFonts w:hint="default" w:ascii="Times New Roman" w:hAnsi="Times New Roman" w:eastAsia="宋体" w:cs="Times New Roman"/>
                <w:spacing w:val="8"/>
                <w:kern w:val="0"/>
                <w:sz w:val="21"/>
                <w:szCs w:val="21"/>
              </w:rPr>
              <w:t>⑴基准污染物</w:t>
            </w:r>
          </w:p>
          <w:p>
            <w:pPr>
              <w:widowControl/>
              <w:spacing w:line="360" w:lineRule="auto"/>
              <w:ind w:firstLine="452" w:firstLineChars="200"/>
              <w:rPr>
                <w:rFonts w:hint="default" w:ascii="Times New Roman" w:hAnsi="Times New Roman" w:eastAsia="宋体" w:cs="Times New Roman"/>
                <w:spacing w:val="8"/>
                <w:kern w:val="0"/>
                <w:sz w:val="21"/>
                <w:szCs w:val="21"/>
              </w:rPr>
            </w:pPr>
            <w:r>
              <w:rPr>
                <w:rFonts w:hint="default" w:ascii="Times New Roman" w:hAnsi="Times New Roman" w:eastAsia="宋体" w:cs="Times New Roman"/>
                <w:spacing w:val="8"/>
                <w:kern w:val="0"/>
                <w:sz w:val="21"/>
                <w:szCs w:val="21"/>
              </w:rPr>
              <w:t>根据《2022年度太仓市环境状况公报》中的结论，2022年太仓市环境空气质量有效监测天数为365天，优良天数为303天，优良率为83.0%，细颗粒物（PM</w:t>
            </w:r>
            <w:r>
              <w:rPr>
                <w:rFonts w:hint="default" w:ascii="Times New Roman" w:hAnsi="Times New Roman" w:eastAsia="宋体" w:cs="Times New Roman"/>
                <w:spacing w:val="8"/>
                <w:kern w:val="0"/>
                <w:sz w:val="21"/>
                <w:szCs w:val="21"/>
                <w:vertAlign w:val="subscript"/>
              </w:rPr>
              <w:t>2.5</w:t>
            </w:r>
            <w:r>
              <w:rPr>
                <w:rFonts w:hint="default" w:ascii="Times New Roman" w:hAnsi="Times New Roman" w:eastAsia="宋体" w:cs="Times New Roman"/>
                <w:spacing w:val="8"/>
                <w:kern w:val="0"/>
                <w:sz w:val="21"/>
                <w:szCs w:val="21"/>
              </w:rPr>
              <w:t>）年均浓度为24µg/m</w:t>
            </w:r>
            <w:r>
              <w:rPr>
                <w:rFonts w:hint="default" w:ascii="Times New Roman" w:hAnsi="Times New Roman" w:eastAsia="宋体" w:cs="Times New Roman"/>
                <w:spacing w:val="8"/>
                <w:kern w:val="0"/>
                <w:sz w:val="21"/>
                <w:szCs w:val="21"/>
                <w:vertAlign w:val="superscript"/>
              </w:rPr>
              <w:t>3</w:t>
            </w:r>
            <w:r>
              <w:rPr>
                <w:rFonts w:hint="default" w:ascii="Times New Roman" w:hAnsi="Times New Roman" w:eastAsia="宋体" w:cs="Times New Roman"/>
                <w:spacing w:val="8"/>
                <w:kern w:val="0"/>
                <w:sz w:val="21"/>
                <w:szCs w:val="21"/>
              </w:rPr>
              <w:t>。</w:t>
            </w:r>
          </w:p>
          <w:p>
            <w:pPr>
              <w:widowControl/>
              <w:spacing w:line="360" w:lineRule="auto"/>
              <w:rPr>
                <w:rFonts w:hint="default" w:ascii="Times New Roman" w:hAnsi="Times New Roman" w:eastAsia="宋体" w:cs="Times New Roman"/>
                <w:spacing w:val="8"/>
                <w:kern w:val="0"/>
                <w:sz w:val="21"/>
                <w:szCs w:val="21"/>
              </w:rPr>
            </w:pPr>
            <w:r>
              <w:rPr>
                <w:rFonts w:hint="default" w:ascii="Times New Roman" w:hAnsi="Times New Roman" w:eastAsia="宋体" w:cs="Times New Roman"/>
                <w:spacing w:val="8"/>
                <w:kern w:val="0"/>
                <w:sz w:val="21"/>
                <w:szCs w:val="21"/>
              </w:rPr>
              <w:t>具体见表3-1。</w:t>
            </w:r>
          </w:p>
          <w:p>
            <w:pPr>
              <w:pStyle w:val="203"/>
              <w:jc w:val="center"/>
              <w:rPr>
                <w:rFonts w:hint="default" w:ascii="Times New Roman" w:hAnsi="Times New Roman" w:eastAsia="宋体" w:cs="Times New Roman"/>
                <w:b/>
                <w:spacing w:val="8"/>
                <w:kern w:val="0"/>
                <w:sz w:val="21"/>
                <w:szCs w:val="21"/>
                <w:lang w:eastAsia="zh-CN"/>
              </w:rPr>
            </w:pPr>
            <w:r>
              <w:rPr>
                <w:rFonts w:hint="default" w:ascii="Times New Roman" w:hAnsi="Times New Roman" w:eastAsia="宋体" w:cs="Times New Roman"/>
                <w:b/>
                <w:spacing w:val="8"/>
                <w:kern w:val="0"/>
                <w:sz w:val="21"/>
                <w:szCs w:val="21"/>
                <w:lang w:eastAsia="zh-CN"/>
              </w:rPr>
              <w:t>表3-1空气环境质量现状</w:t>
            </w:r>
          </w:p>
          <w:tbl>
            <w:tblPr>
              <w:tblStyle w:val="36"/>
              <w:tblW w:w="495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89"/>
              <w:gridCol w:w="3110"/>
              <w:gridCol w:w="1401"/>
              <w:gridCol w:w="1555"/>
              <w:gridCol w:w="1092"/>
              <w:gridCol w:w="90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97" w:type="pct"/>
                  <w:tcBorders>
                    <w:top w:val="single" w:color="auto" w:sz="12" w:space="0"/>
                    <w:left w:val="nil"/>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评价因子</w:t>
                  </w:r>
                </w:p>
              </w:tc>
              <w:tc>
                <w:tcPr>
                  <w:tcW w:w="1738" w:type="pct"/>
                  <w:tcBorders>
                    <w:top w:val="single" w:color="auto" w:sz="12"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平均时段</w:t>
                  </w:r>
                </w:p>
              </w:tc>
              <w:tc>
                <w:tcPr>
                  <w:tcW w:w="783" w:type="pct"/>
                  <w:tcBorders>
                    <w:top w:val="single" w:color="auto" w:sz="12"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现状浓度</w:t>
                  </w:r>
                </w:p>
                <w:p>
                  <w:pPr>
                    <w:tabs>
                      <w:tab w:val="left" w:pos="0"/>
                    </w:tabs>
                    <w:adjustRightInd w:val="0"/>
                    <w:snapToGrid w:val="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w:t>
                  </w:r>
                  <w:r>
                    <w:rPr>
                      <w:rFonts w:hint="default" w:ascii="Times New Roman" w:hAnsi="Times New Roman" w:eastAsia="宋体" w:cs="Times New Roman"/>
                      <w:sz w:val="18"/>
                      <w:szCs w:val="18"/>
                    </w:rPr>
                    <w:t>μg/m</w:t>
                  </w:r>
                  <w:r>
                    <w:rPr>
                      <w:rFonts w:hint="default" w:ascii="Times New Roman" w:hAnsi="Times New Roman" w:eastAsia="宋体" w:cs="Times New Roman"/>
                      <w:sz w:val="18"/>
                      <w:szCs w:val="18"/>
                      <w:vertAlign w:val="superscript"/>
                    </w:rPr>
                    <w:t>3</w:t>
                  </w:r>
                  <w:r>
                    <w:rPr>
                      <w:rFonts w:hint="default" w:ascii="Times New Roman" w:hAnsi="Times New Roman" w:eastAsia="宋体" w:cs="Times New Roman"/>
                      <w:b/>
                      <w:sz w:val="18"/>
                      <w:szCs w:val="18"/>
                    </w:rPr>
                    <w:t>）</w:t>
                  </w:r>
                </w:p>
              </w:tc>
              <w:tc>
                <w:tcPr>
                  <w:tcW w:w="869" w:type="pct"/>
                  <w:tcBorders>
                    <w:top w:val="single" w:color="auto" w:sz="12"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标准值</w:t>
                  </w:r>
                </w:p>
                <w:p>
                  <w:pPr>
                    <w:tabs>
                      <w:tab w:val="left" w:pos="0"/>
                    </w:tabs>
                    <w:adjustRightInd w:val="0"/>
                    <w:snapToGrid w:val="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w:t>
                  </w:r>
                  <w:r>
                    <w:rPr>
                      <w:rFonts w:hint="default" w:ascii="Times New Roman" w:hAnsi="Times New Roman" w:eastAsia="宋体" w:cs="Times New Roman"/>
                      <w:sz w:val="18"/>
                      <w:szCs w:val="18"/>
                    </w:rPr>
                    <w:t>μg/m</w:t>
                  </w:r>
                  <w:r>
                    <w:rPr>
                      <w:rFonts w:hint="default" w:ascii="Times New Roman" w:hAnsi="Times New Roman" w:eastAsia="宋体" w:cs="Times New Roman"/>
                      <w:sz w:val="18"/>
                      <w:szCs w:val="18"/>
                      <w:vertAlign w:val="superscript"/>
                    </w:rPr>
                    <w:t>3</w:t>
                  </w:r>
                  <w:r>
                    <w:rPr>
                      <w:rFonts w:hint="default" w:ascii="Times New Roman" w:hAnsi="Times New Roman" w:eastAsia="宋体" w:cs="Times New Roman"/>
                      <w:b/>
                      <w:sz w:val="18"/>
                      <w:szCs w:val="18"/>
                    </w:rPr>
                    <w:t>）</w:t>
                  </w:r>
                </w:p>
              </w:tc>
              <w:tc>
                <w:tcPr>
                  <w:tcW w:w="610" w:type="pct"/>
                  <w:tcBorders>
                    <w:top w:val="single" w:color="auto" w:sz="12"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占标率（%）</w:t>
                  </w:r>
                </w:p>
              </w:tc>
              <w:tc>
                <w:tcPr>
                  <w:tcW w:w="503" w:type="pct"/>
                  <w:tcBorders>
                    <w:top w:val="single" w:color="auto" w:sz="12" w:space="0"/>
                    <w:left w:val="single" w:color="auto" w:sz="4" w:space="0"/>
                    <w:bottom w:val="single" w:color="auto" w:sz="4" w:space="0"/>
                    <w:right w:val="nil"/>
                  </w:tcBorders>
                  <w:vAlign w:val="center"/>
                </w:tcPr>
                <w:p>
                  <w:pPr>
                    <w:tabs>
                      <w:tab w:val="left" w:pos="0"/>
                    </w:tabs>
                    <w:adjustRightInd w:val="0"/>
                    <w:snapToGrid w:val="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达标情况</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97" w:type="pct"/>
                  <w:tcBorders>
                    <w:top w:val="single" w:color="auto" w:sz="4" w:space="0"/>
                    <w:left w:val="nil"/>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SO</w:t>
                  </w:r>
                  <w:r>
                    <w:rPr>
                      <w:rFonts w:hint="default" w:ascii="Times New Roman" w:hAnsi="Times New Roman" w:eastAsia="宋体" w:cs="Times New Roman"/>
                      <w:sz w:val="18"/>
                      <w:szCs w:val="18"/>
                      <w:vertAlign w:val="subscript"/>
                    </w:rPr>
                    <w:t>2</w:t>
                  </w:r>
                </w:p>
              </w:tc>
              <w:tc>
                <w:tcPr>
                  <w:tcW w:w="1738" w:type="pct"/>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年平均质量浓度</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8</w:t>
                  </w:r>
                </w:p>
              </w:tc>
              <w:tc>
                <w:tcPr>
                  <w:tcW w:w="869" w:type="pct"/>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60</w:t>
                  </w:r>
                </w:p>
              </w:tc>
              <w:tc>
                <w:tcPr>
                  <w:tcW w:w="610"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13.3</w:t>
                  </w:r>
                </w:p>
              </w:tc>
              <w:tc>
                <w:tcPr>
                  <w:tcW w:w="503" w:type="pct"/>
                  <w:tcBorders>
                    <w:top w:val="single" w:color="auto" w:sz="4" w:space="0"/>
                    <w:left w:val="single" w:color="auto" w:sz="4" w:space="0"/>
                    <w:bottom w:val="single" w:color="auto" w:sz="4" w:space="0"/>
                    <w:right w:val="nil"/>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97" w:type="pct"/>
                  <w:tcBorders>
                    <w:top w:val="single" w:color="auto" w:sz="4" w:space="0"/>
                    <w:left w:val="nil"/>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NO</w:t>
                  </w:r>
                  <w:r>
                    <w:rPr>
                      <w:rFonts w:hint="default" w:ascii="Times New Roman" w:hAnsi="Times New Roman" w:eastAsia="宋体" w:cs="Times New Roman"/>
                      <w:sz w:val="18"/>
                      <w:szCs w:val="18"/>
                      <w:vertAlign w:val="subscript"/>
                    </w:rPr>
                    <w:t>2</w:t>
                  </w:r>
                </w:p>
              </w:tc>
              <w:tc>
                <w:tcPr>
                  <w:tcW w:w="1738" w:type="pct"/>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年平均质量浓度</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2</w:t>
                  </w:r>
                  <w:r>
                    <w:rPr>
                      <w:rFonts w:hint="default" w:ascii="Times New Roman" w:hAnsi="Times New Roman" w:eastAsia="宋体" w:cs="Times New Roman"/>
                      <w:sz w:val="18"/>
                      <w:szCs w:val="18"/>
                      <w:lang w:val="en-US" w:eastAsia="zh-CN"/>
                    </w:rPr>
                    <w:t>9</w:t>
                  </w:r>
                </w:p>
              </w:tc>
              <w:tc>
                <w:tcPr>
                  <w:tcW w:w="869" w:type="pct"/>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40</w:t>
                  </w:r>
                </w:p>
              </w:tc>
              <w:tc>
                <w:tcPr>
                  <w:tcW w:w="610"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72.5</w:t>
                  </w:r>
                </w:p>
              </w:tc>
              <w:tc>
                <w:tcPr>
                  <w:tcW w:w="503" w:type="pct"/>
                  <w:tcBorders>
                    <w:top w:val="single" w:color="auto" w:sz="4" w:space="0"/>
                    <w:left w:val="single" w:color="auto" w:sz="4" w:space="0"/>
                    <w:bottom w:val="single" w:color="auto" w:sz="4" w:space="0"/>
                    <w:right w:val="nil"/>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97" w:type="pct"/>
                  <w:tcBorders>
                    <w:top w:val="single" w:color="auto" w:sz="4" w:space="0"/>
                    <w:left w:val="nil"/>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PM</w:t>
                  </w:r>
                  <w:r>
                    <w:rPr>
                      <w:rFonts w:hint="default" w:ascii="Times New Roman" w:hAnsi="Times New Roman" w:eastAsia="宋体" w:cs="Times New Roman"/>
                      <w:sz w:val="18"/>
                      <w:szCs w:val="18"/>
                      <w:vertAlign w:val="subscript"/>
                    </w:rPr>
                    <w:t>10</w:t>
                  </w:r>
                </w:p>
              </w:tc>
              <w:tc>
                <w:tcPr>
                  <w:tcW w:w="1738" w:type="pct"/>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年平均质量浓度</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4</w:t>
                  </w:r>
                  <w:r>
                    <w:rPr>
                      <w:rFonts w:hint="default" w:ascii="Times New Roman" w:hAnsi="Times New Roman" w:eastAsia="宋体" w:cs="Times New Roman"/>
                      <w:sz w:val="18"/>
                      <w:szCs w:val="18"/>
                      <w:lang w:val="en-US" w:eastAsia="zh-CN"/>
                    </w:rPr>
                    <w:t>2</w:t>
                  </w:r>
                </w:p>
              </w:tc>
              <w:tc>
                <w:tcPr>
                  <w:tcW w:w="869" w:type="pct"/>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70</w:t>
                  </w:r>
                </w:p>
              </w:tc>
              <w:tc>
                <w:tcPr>
                  <w:tcW w:w="610"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6</w:t>
                  </w:r>
                  <w:r>
                    <w:rPr>
                      <w:rFonts w:hint="default" w:ascii="Times New Roman" w:hAnsi="Times New Roman" w:eastAsia="宋体" w:cs="Times New Roman"/>
                      <w:sz w:val="18"/>
                      <w:szCs w:val="18"/>
                      <w:lang w:val="en-US" w:eastAsia="zh-CN"/>
                    </w:rPr>
                    <w:t>0</w:t>
                  </w:r>
                </w:p>
              </w:tc>
              <w:tc>
                <w:tcPr>
                  <w:tcW w:w="503" w:type="pct"/>
                  <w:tcBorders>
                    <w:top w:val="single" w:color="auto" w:sz="4" w:space="0"/>
                    <w:left w:val="single" w:color="auto" w:sz="4" w:space="0"/>
                    <w:bottom w:val="single" w:color="auto" w:sz="4" w:space="0"/>
                    <w:right w:val="nil"/>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97" w:type="pct"/>
                  <w:tcBorders>
                    <w:top w:val="single" w:color="auto" w:sz="4" w:space="0"/>
                    <w:left w:val="nil"/>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PM</w:t>
                  </w:r>
                  <w:r>
                    <w:rPr>
                      <w:rFonts w:hint="default" w:ascii="Times New Roman" w:hAnsi="Times New Roman" w:eastAsia="宋体" w:cs="Times New Roman"/>
                      <w:sz w:val="18"/>
                      <w:szCs w:val="18"/>
                      <w:vertAlign w:val="subscript"/>
                    </w:rPr>
                    <w:t>2.5</w:t>
                  </w:r>
                </w:p>
              </w:tc>
              <w:tc>
                <w:tcPr>
                  <w:tcW w:w="1738" w:type="pct"/>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年平均质量浓度</w:t>
                  </w:r>
                </w:p>
              </w:tc>
              <w:tc>
                <w:tcPr>
                  <w:tcW w:w="783"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2</w:t>
                  </w:r>
                  <w:r>
                    <w:rPr>
                      <w:rFonts w:hint="default" w:ascii="Times New Roman" w:hAnsi="Times New Roman" w:eastAsia="宋体" w:cs="Times New Roman"/>
                      <w:sz w:val="18"/>
                      <w:szCs w:val="18"/>
                      <w:lang w:val="en-US" w:eastAsia="zh-CN"/>
                    </w:rPr>
                    <w:t>4</w:t>
                  </w:r>
                </w:p>
              </w:tc>
              <w:tc>
                <w:tcPr>
                  <w:tcW w:w="869" w:type="pct"/>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35</w:t>
                  </w:r>
                </w:p>
              </w:tc>
              <w:tc>
                <w:tcPr>
                  <w:tcW w:w="610"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68.6</w:t>
                  </w:r>
                </w:p>
              </w:tc>
              <w:tc>
                <w:tcPr>
                  <w:tcW w:w="503" w:type="pct"/>
                  <w:tcBorders>
                    <w:top w:val="single" w:color="auto" w:sz="4" w:space="0"/>
                    <w:left w:val="single" w:color="auto" w:sz="4" w:space="0"/>
                    <w:bottom w:val="single" w:color="auto" w:sz="4" w:space="0"/>
                    <w:right w:val="nil"/>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97" w:type="pct"/>
                  <w:tcBorders>
                    <w:top w:val="single" w:color="auto" w:sz="4" w:space="0"/>
                    <w:left w:val="nil"/>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CO</w:t>
                  </w:r>
                </w:p>
              </w:tc>
              <w:tc>
                <w:tcPr>
                  <w:tcW w:w="1738" w:type="pct"/>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24小时平均第95百分位数</w:t>
                  </w:r>
                </w:p>
              </w:tc>
              <w:tc>
                <w:tcPr>
                  <w:tcW w:w="783" w:type="pct"/>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900</w:t>
                  </w:r>
                </w:p>
              </w:tc>
              <w:tc>
                <w:tcPr>
                  <w:tcW w:w="869" w:type="pct"/>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4000</w:t>
                  </w:r>
                </w:p>
              </w:tc>
              <w:tc>
                <w:tcPr>
                  <w:tcW w:w="610"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2</w:t>
                  </w:r>
                  <w:r>
                    <w:rPr>
                      <w:rFonts w:hint="default" w:ascii="Times New Roman" w:hAnsi="Times New Roman" w:eastAsia="宋体" w:cs="Times New Roman"/>
                      <w:sz w:val="18"/>
                      <w:szCs w:val="18"/>
                      <w:lang w:val="en-US" w:eastAsia="zh-CN"/>
                    </w:rPr>
                    <w:t>2.5</w:t>
                  </w:r>
                </w:p>
              </w:tc>
              <w:tc>
                <w:tcPr>
                  <w:tcW w:w="503" w:type="pct"/>
                  <w:tcBorders>
                    <w:top w:val="single" w:color="auto" w:sz="4" w:space="0"/>
                    <w:left w:val="single" w:color="auto" w:sz="4" w:space="0"/>
                    <w:bottom w:val="single" w:color="auto" w:sz="4" w:space="0"/>
                    <w:right w:val="nil"/>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达标</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497" w:type="pct"/>
                  <w:tcBorders>
                    <w:top w:val="single" w:color="auto" w:sz="4" w:space="0"/>
                    <w:left w:val="nil"/>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O</w:t>
                  </w:r>
                  <w:r>
                    <w:rPr>
                      <w:rFonts w:hint="default" w:ascii="Times New Roman" w:hAnsi="Times New Roman" w:eastAsia="宋体" w:cs="Times New Roman"/>
                      <w:sz w:val="18"/>
                      <w:szCs w:val="18"/>
                      <w:vertAlign w:val="subscript"/>
                    </w:rPr>
                    <w:t>3</w:t>
                  </w:r>
                </w:p>
              </w:tc>
              <w:tc>
                <w:tcPr>
                  <w:tcW w:w="1738" w:type="pct"/>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日最大8小时平均第90百分位数</w:t>
                  </w:r>
                </w:p>
              </w:tc>
              <w:tc>
                <w:tcPr>
                  <w:tcW w:w="783" w:type="pct"/>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178</w:t>
                  </w:r>
                </w:p>
              </w:tc>
              <w:tc>
                <w:tcPr>
                  <w:tcW w:w="869" w:type="pct"/>
                  <w:tcBorders>
                    <w:top w:val="single" w:color="auto" w:sz="4" w:space="0"/>
                    <w:left w:val="single" w:color="auto" w:sz="4" w:space="0"/>
                    <w:bottom w:val="single" w:color="auto" w:sz="4" w:space="0"/>
                    <w:right w:val="single" w:color="auto" w:sz="4" w:space="0"/>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160</w:t>
                  </w:r>
                </w:p>
              </w:tc>
              <w:tc>
                <w:tcPr>
                  <w:tcW w:w="610" w:type="pct"/>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1</w:t>
                  </w:r>
                  <w:r>
                    <w:rPr>
                      <w:rFonts w:hint="default" w:ascii="Times New Roman" w:hAnsi="Times New Roman" w:eastAsia="宋体" w:cs="Times New Roman"/>
                      <w:sz w:val="18"/>
                      <w:szCs w:val="18"/>
                      <w:lang w:val="en-US" w:eastAsia="zh-CN"/>
                    </w:rPr>
                    <w:t>11.3</w:t>
                  </w:r>
                </w:p>
              </w:tc>
              <w:tc>
                <w:tcPr>
                  <w:tcW w:w="503" w:type="pct"/>
                  <w:tcBorders>
                    <w:top w:val="single" w:color="auto" w:sz="4" w:space="0"/>
                    <w:left w:val="single" w:color="auto" w:sz="4" w:space="0"/>
                    <w:bottom w:val="single" w:color="auto" w:sz="4" w:space="0"/>
                    <w:right w:val="nil"/>
                  </w:tcBorders>
                  <w:vAlign w:val="center"/>
                </w:tcPr>
                <w:p>
                  <w:pPr>
                    <w:tabs>
                      <w:tab w:val="left" w:pos="0"/>
                    </w:tabs>
                    <w:adjustRightInd w:val="0"/>
                    <w:snapToGrid w:val="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不达标</w:t>
                  </w:r>
                </w:p>
              </w:tc>
            </w:tr>
          </w:tbl>
          <w:p>
            <w:pPr>
              <w:widowControl/>
              <w:shd w:val="clear" w:color="auto" w:fill="FFFFFF"/>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综上分析，2022年太仓市环境空气质量基本污染物中O</w:t>
            </w:r>
            <w:r>
              <w:rPr>
                <w:rFonts w:hint="default" w:ascii="Times New Roman" w:hAnsi="Times New Roman" w:eastAsia="宋体" w:cs="Times New Roman"/>
                <w:sz w:val="21"/>
                <w:szCs w:val="21"/>
                <w:vertAlign w:val="subscript"/>
              </w:rPr>
              <w:t>3</w:t>
            </w:r>
            <w:r>
              <w:rPr>
                <w:rFonts w:hint="default" w:ascii="Times New Roman" w:hAnsi="Times New Roman" w:eastAsia="宋体" w:cs="Times New Roman"/>
                <w:sz w:val="21"/>
                <w:szCs w:val="21"/>
              </w:rPr>
              <w:t>超标，PM</w:t>
            </w:r>
            <w:r>
              <w:rPr>
                <w:rFonts w:hint="default" w:ascii="Times New Roman" w:hAnsi="Times New Roman" w:eastAsia="宋体" w:cs="Times New Roman"/>
                <w:sz w:val="21"/>
                <w:szCs w:val="21"/>
                <w:vertAlign w:val="subscript"/>
              </w:rPr>
              <w:t>2.5</w:t>
            </w:r>
            <w:r>
              <w:rPr>
                <w:rFonts w:hint="default" w:ascii="Times New Roman" w:hAnsi="Times New Roman" w:eastAsia="宋体" w:cs="Times New Roman"/>
                <w:sz w:val="21"/>
                <w:szCs w:val="21"/>
              </w:rPr>
              <w:t>、NO</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、PM</w:t>
            </w:r>
            <w:r>
              <w:rPr>
                <w:rFonts w:hint="default" w:ascii="Times New Roman" w:hAnsi="Times New Roman" w:eastAsia="宋体" w:cs="Times New Roman"/>
                <w:sz w:val="21"/>
                <w:szCs w:val="21"/>
                <w:vertAlign w:val="subscript"/>
              </w:rPr>
              <w:t>10</w:t>
            </w:r>
            <w:r>
              <w:rPr>
                <w:rFonts w:hint="default" w:ascii="Times New Roman" w:hAnsi="Times New Roman" w:eastAsia="宋体" w:cs="Times New Roman"/>
                <w:sz w:val="21"/>
                <w:szCs w:val="21"/>
              </w:rPr>
              <w:t>、CO、SO</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全年达标，所在区域空气质量为不达标区。</w:t>
            </w:r>
          </w:p>
          <w:p>
            <w:pPr>
              <w:widowControl/>
              <w:shd w:val="clear" w:color="auto" w:fill="FFFFFF"/>
              <w:spacing w:line="360" w:lineRule="auto"/>
              <w:ind w:firstLine="420" w:firstLineChars="200"/>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为改善空气质量，《空气质量持续改善行动计划》（国发〔2023〕24号）做出如下规定：以改善空气质量为核心，以减少重污染天气和解决人民群众身边的突出大气环境问题为重点，以降低细颗粒物（PM</w:t>
            </w:r>
            <w:r>
              <w:rPr>
                <w:rFonts w:hint="default" w:ascii="Times New Roman" w:hAnsi="Times New Roman" w:eastAsia="宋体" w:cs="Times New Roman"/>
                <w:sz w:val="21"/>
                <w:szCs w:val="21"/>
                <w:vertAlign w:val="subscript"/>
              </w:rPr>
              <w:t>2.5</w:t>
            </w:r>
            <w:r>
              <w:rPr>
                <w:rFonts w:hint="default" w:ascii="Times New Roman" w:hAnsi="Times New Roman" w:eastAsia="宋体" w:cs="Times New Roman"/>
                <w:sz w:val="21"/>
                <w:szCs w:val="21"/>
              </w:rPr>
              <w:t>）浓度为主线，大力推动氮氧化物和挥发性有机物（VOCs）减排。到2025年，全国地级及以上城市PM</w:t>
            </w:r>
            <w:r>
              <w:rPr>
                <w:rFonts w:hint="default" w:ascii="Times New Roman" w:hAnsi="Times New Roman" w:eastAsia="宋体" w:cs="Times New Roman"/>
                <w:sz w:val="21"/>
                <w:szCs w:val="21"/>
                <w:vertAlign w:val="subscript"/>
              </w:rPr>
              <w:t>2.5</w:t>
            </w:r>
            <w:r>
              <w:rPr>
                <w:rFonts w:hint="default" w:ascii="Times New Roman" w:hAnsi="Times New Roman" w:eastAsia="宋体" w:cs="Times New Roman"/>
                <w:sz w:val="21"/>
                <w:szCs w:val="21"/>
              </w:rPr>
              <w:t>浓度比2020年下降10%，重度及以上污染天数比率控制在1%以内；氮氧化物和VOCs排放总量比2020年分别下降10%以上，长三角地区PM</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5浓度总体达标。主要措施包括：坚决遏制高耗能高排放低水平项目盲目上马；加快退出重点行业落后产能；全面开展传统产业集群升级改造；优化含VOCs原辅材料和产品结构；推动绿色环保产业健康发展；大力发展新能源和清洁能源；严格合理控制煤炭消费总量；积极开展燃煤锅炉关停整合；实施工业炉窑清洁能源替代；持续优化调整货物运输结构；加快提升机动车清洁化水平；强化非道路移动源综合治理；全面保障成品油质量；深化扬尘污染综合治理等。</w:t>
            </w:r>
          </w:p>
          <w:p>
            <w:pPr>
              <w:snapToGrid w:val="0"/>
              <w:spacing w:line="360" w:lineRule="auto"/>
              <w:ind w:firstLine="422" w:firstLineChars="200"/>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2、地表水环境质量</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根据《2022年太仓市环境质量状况公报》，2022年我市共有国省考断面12个，浏河</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右岸</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、荡茜河桥、新泾闸、鹿鸣泾桥、滨江大道桥、浪港闸、钱泾闸7个断面平均水质达到II类水标准；浏河闸、仪桥、振东渡口、新丰桥镇、新塘河闸5个断面平均水质达到III类水标准，水质达标率100%。</w:t>
            </w:r>
          </w:p>
          <w:p>
            <w:pPr>
              <w:wordWrap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项目纳污水体新浏河水环境质量现状引用苏州环优检测有限公司于2021年11月3日</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rPr>
              <w:t>11月5日的监测数据（太仓德瑞健康产业有限公司新建太仓市娄江新城医院（上海交通大学医学院附属瑞金医院太仓分院）项目）。该监测数据监测时间在三年内，监测期后区域污染源变化不大，在评价范围内，数据有效，可引用，监测结果详见表3-3。</w:t>
            </w:r>
          </w:p>
          <w:p>
            <w:pPr>
              <w:spacing w:line="360" w:lineRule="auto"/>
              <w:ind w:firstLine="422" w:firstLineChars="200"/>
              <w:jc w:val="center"/>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表3-</w:t>
            </w:r>
            <w:r>
              <w:rPr>
                <w:rFonts w:hint="default" w:ascii="Times New Roman" w:hAnsi="Times New Roman" w:eastAsia="宋体" w:cs="Times New Roman"/>
                <w:b/>
                <w:sz w:val="21"/>
                <w:szCs w:val="21"/>
                <w:lang w:val="en-US" w:eastAsia="zh-CN"/>
              </w:rPr>
              <w:t>2</w:t>
            </w:r>
            <w:r>
              <w:rPr>
                <w:rFonts w:hint="default" w:ascii="Times New Roman" w:hAnsi="Times New Roman" w:eastAsia="宋体" w:cs="Times New Roman"/>
                <w:b/>
                <w:sz w:val="21"/>
                <w:szCs w:val="21"/>
              </w:rPr>
              <w:t>水环境现状监测数据（单位：mg/L）</w:t>
            </w:r>
          </w:p>
          <w:tbl>
            <w:tblPr>
              <w:tblStyle w:val="36"/>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0" w:type="dxa"/>
                <w:bottom w:w="0" w:type="dxa"/>
                <w:right w:w="0" w:type="dxa"/>
              </w:tblCellMar>
            </w:tblPr>
            <w:tblGrid>
              <w:gridCol w:w="350"/>
              <w:gridCol w:w="1890"/>
              <w:gridCol w:w="1260"/>
              <w:gridCol w:w="836"/>
              <w:gridCol w:w="934"/>
              <w:gridCol w:w="1066"/>
              <w:gridCol w:w="940"/>
              <w:gridCol w:w="950"/>
              <w:gridCol w:w="80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52" w:hRule="atLeast"/>
                <w:jc w:val="center"/>
              </w:trPr>
              <w:tc>
                <w:tcPr>
                  <w:tcW w:w="315" w:type="dxa"/>
                  <w:textDirection w:val="tbRlV"/>
                  <w:vAlign w:val="center"/>
                </w:tcPr>
                <w:p>
                  <w:pPr>
                    <w:pStyle w:val="203"/>
                    <w:jc w:val="center"/>
                    <w:rPr>
                      <w:rFonts w:hint="default" w:ascii="Times New Roman" w:hAnsi="Times New Roman" w:eastAsia="宋体" w:cs="Times New Roman"/>
                      <w:sz w:val="18"/>
                      <w:szCs w:val="18"/>
                    </w:rPr>
                  </w:pPr>
                  <w:r>
                    <w:rPr>
                      <w:rFonts w:hint="default" w:ascii="Times New Roman" w:hAnsi="Times New Roman" w:eastAsia="宋体" w:cs="Times New Roman"/>
                      <w:spacing w:val="8"/>
                      <w:sz w:val="18"/>
                      <w:szCs w:val="18"/>
                    </w:rPr>
                    <w:t>河流</w:t>
                  </w:r>
                </w:p>
              </w:tc>
              <w:tc>
                <w:tcPr>
                  <w:tcW w:w="1701" w:type="dxa"/>
                  <w:vAlign w:val="center"/>
                </w:tcPr>
                <w:p>
                  <w:pPr>
                    <w:pStyle w:val="203"/>
                    <w:jc w:val="center"/>
                    <w:rPr>
                      <w:rFonts w:hint="default" w:ascii="Times New Roman" w:hAnsi="Times New Roman" w:eastAsia="宋体" w:cs="Times New Roman"/>
                      <w:sz w:val="18"/>
                      <w:szCs w:val="18"/>
                    </w:rPr>
                  </w:pPr>
                  <w:r>
                    <w:rPr>
                      <w:rFonts w:hint="default" w:ascii="Times New Roman" w:hAnsi="Times New Roman" w:eastAsia="宋体" w:cs="Times New Roman"/>
                      <w:spacing w:val="1"/>
                      <w:sz w:val="18"/>
                      <w:szCs w:val="18"/>
                    </w:rPr>
                    <w:t>断面</w:t>
                  </w:r>
                </w:p>
              </w:tc>
              <w:tc>
                <w:tcPr>
                  <w:tcW w:w="1134" w:type="dxa"/>
                  <w:vAlign w:val="center"/>
                </w:tcPr>
                <w:p>
                  <w:pPr>
                    <w:pStyle w:val="203"/>
                    <w:jc w:val="center"/>
                    <w:rPr>
                      <w:rFonts w:hint="default" w:ascii="Times New Roman" w:hAnsi="Times New Roman" w:eastAsia="宋体" w:cs="Times New Roman"/>
                      <w:sz w:val="18"/>
                      <w:szCs w:val="18"/>
                    </w:rPr>
                  </w:pPr>
                  <w:r>
                    <w:rPr>
                      <w:rFonts w:hint="default" w:ascii="Times New Roman" w:hAnsi="Times New Roman" w:eastAsia="宋体" w:cs="Times New Roman"/>
                      <w:spacing w:val="4"/>
                      <w:sz w:val="18"/>
                      <w:szCs w:val="18"/>
                    </w:rPr>
                    <w:t>项目</w:t>
                  </w:r>
                </w:p>
              </w:tc>
              <w:tc>
                <w:tcPr>
                  <w:tcW w:w="752"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b/>
                      <w:bCs/>
                      <w:spacing w:val="4"/>
                      <w:sz w:val="18"/>
                      <w:szCs w:val="18"/>
                    </w:rPr>
                    <w:t>pH</w:t>
                  </w:r>
                </w:p>
              </w:tc>
              <w:tc>
                <w:tcPr>
                  <w:tcW w:w="840"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b/>
                      <w:bCs/>
                      <w:spacing w:val="4"/>
                      <w:sz w:val="18"/>
                      <w:szCs w:val="18"/>
                    </w:rPr>
                    <w:t>COD</w:t>
                  </w:r>
                </w:p>
              </w:tc>
              <w:tc>
                <w:tcPr>
                  <w:tcW w:w="959" w:type="dxa"/>
                  <w:vAlign w:val="center"/>
                </w:tcPr>
                <w:p>
                  <w:pPr>
                    <w:pStyle w:val="203"/>
                    <w:jc w:val="center"/>
                    <w:rPr>
                      <w:rFonts w:hint="default" w:ascii="Times New Roman" w:hAnsi="Times New Roman" w:eastAsia="宋体" w:cs="Times New Roman"/>
                      <w:sz w:val="18"/>
                      <w:szCs w:val="18"/>
                    </w:rPr>
                  </w:pPr>
                  <w:r>
                    <w:rPr>
                      <w:rFonts w:hint="default" w:ascii="Times New Roman" w:hAnsi="Times New Roman" w:eastAsia="宋体" w:cs="Times New Roman"/>
                      <w:spacing w:val="6"/>
                      <w:sz w:val="18"/>
                      <w:szCs w:val="18"/>
                    </w:rPr>
                    <w:t>悬浮物</w:t>
                  </w:r>
                </w:p>
              </w:tc>
              <w:tc>
                <w:tcPr>
                  <w:tcW w:w="846" w:type="dxa"/>
                  <w:vAlign w:val="center"/>
                </w:tcPr>
                <w:p>
                  <w:pPr>
                    <w:pStyle w:val="203"/>
                    <w:jc w:val="center"/>
                    <w:rPr>
                      <w:rFonts w:hint="default" w:ascii="Times New Roman" w:hAnsi="Times New Roman" w:eastAsia="宋体" w:cs="Times New Roman"/>
                      <w:sz w:val="18"/>
                      <w:szCs w:val="18"/>
                    </w:rPr>
                  </w:pPr>
                  <w:r>
                    <w:rPr>
                      <w:rFonts w:hint="default" w:ascii="Times New Roman" w:hAnsi="Times New Roman" w:eastAsia="宋体" w:cs="Times New Roman"/>
                      <w:spacing w:val="6"/>
                      <w:sz w:val="18"/>
                      <w:szCs w:val="18"/>
                    </w:rPr>
                    <w:t>氨氮</w:t>
                  </w:r>
                </w:p>
              </w:tc>
              <w:tc>
                <w:tcPr>
                  <w:tcW w:w="855" w:type="dxa"/>
                  <w:vAlign w:val="center"/>
                </w:tcPr>
                <w:p>
                  <w:pPr>
                    <w:pStyle w:val="203"/>
                    <w:jc w:val="center"/>
                    <w:rPr>
                      <w:rFonts w:hint="default" w:ascii="Times New Roman" w:hAnsi="Times New Roman" w:eastAsia="宋体" w:cs="Times New Roman"/>
                      <w:sz w:val="18"/>
                      <w:szCs w:val="18"/>
                    </w:rPr>
                  </w:pPr>
                  <w:r>
                    <w:rPr>
                      <w:rFonts w:hint="default" w:ascii="Times New Roman" w:hAnsi="Times New Roman" w:eastAsia="宋体" w:cs="Times New Roman"/>
                      <w:spacing w:val="3"/>
                      <w:sz w:val="18"/>
                      <w:szCs w:val="18"/>
                    </w:rPr>
                    <w:t>总磷</w:t>
                  </w:r>
                </w:p>
              </w:tc>
              <w:tc>
                <w:tcPr>
                  <w:tcW w:w="726" w:type="dxa"/>
                  <w:vAlign w:val="center"/>
                </w:tcPr>
                <w:p>
                  <w:pPr>
                    <w:pStyle w:val="203"/>
                    <w:jc w:val="center"/>
                    <w:rPr>
                      <w:rFonts w:hint="default" w:ascii="Times New Roman" w:hAnsi="Times New Roman" w:eastAsia="宋体" w:cs="Times New Roman"/>
                      <w:sz w:val="18"/>
                      <w:szCs w:val="18"/>
                    </w:rPr>
                  </w:pPr>
                  <w:r>
                    <w:rPr>
                      <w:rFonts w:hint="default" w:ascii="Times New Roman" w:hAnsi="Times New Roman" w:eastAsia="宋体" w:cs="Times New Roman"/>
                      <w:spacing w:val="3"/>
                      <w:sz w:val="18"/>
                      <w:szCs w:val="18"/>
                    </w:rPr>
                    <w:t>总氮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75" w:hRule="atLeast"/>
                <w:jc w:val="center"/>
              </w:trPr>
              <w:tc>
                <w:tcPr>
                  <w:tcW w:w="315" w:type="dxa"/>
                  <w:vMerge w:val="restart"/>
                  <w:textDirection w:val="tbRlV"/>
                  <w:vAlign w:val="center"/>
                </w:tcPr>
                <w:p>
                  <w:pPr>
                    <w:pStyle w:val="203"/>
                    <w:jc w:val="center"/>
                    <w:rPr>
                      <w:rFonts w:hint="default" w:ascii="Times New Roman" w:hAnsi="Times New Roman" w:eastAsia="宋体" w:cs="Times New Roman"/>
                      <w:sz w:val="18"/>
                      <w:szCs w:val="18"/>
                    </w:rPr>
                  </w:pPr>
                  <w:r>
                    <w:rPr>
                      <w:rFonts w:hint="default" w:ascii="Times New Roman" w:hAnsi="Times New Roman" w:eastAsia="宋体" w:cs="Times New Roman"/>
                      <w:spacing w:val="8"/>
                      <w:sz w:val="18"/>
                      <w:szCs w:val="18"/>
                    </w:rPr>
                    <w:t>新浏河</w:t>
                  </w:r>
                </w:p>
              </w:tc>
              <w:tc>
                <w:tcPr>
                  <w:tcW w:w="1701" w:type="dxa"/>
                  <w:vMerge w:val="restart"/>
                  <w:vAlign w:val="center"/>
                </w:tcPr>
                <w:p>
                  <w:pPr>
                    <w:pStyle w:val="203"/>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pacing w:val="7"/>
                      <w:sz w:val="18"/>
                      <w:szCs w:val="18"/>
                      <w:lang w:eastAsia="zh-CN"/>
                    </w:rPr>
                    <w:t>太仓市城东污水处理厂排口上游</w:t>
                  </w:r>
                  <w:r>
                    <w:rPr>
                      <w:rFonts w:hint="default" w:ascii="Times New Roman" w:hAnsi="Times New Roman" w:eastAsia="宋体" w:cs="Times New Roman"/>
                      <w:spacing w:val="3"/>
                      <w:sz w:val="18"/>
                      <w:szCs w:val="18"/>
                      <w:lang w:eastAsia="zh-CN"/>
                    </w:rPr>
                    <w:t>500m</w:t>
                  </w:r>
                </w:p>
              </w:tc>
              <w:tc>
                <w:tcPr>
                  <w:tcW w:w="1134" w:type="dxa"/>
                  <w:vAlign w:val="center"/>
                </w:tcPr>
                <w:p>
                  <w:pPr>
                    <w:pStyle w:val="203"/>
                    <w:jc w:val="center"/>
                    <w:rPr>
                      <w:rFonts w:hint="default" w:ascii="Times New Roman" w:hAnsi="Times New Roman" w:eastAsia="宋体" w:cs="Times New Roman"/>
                      <w:sz w:val="18"/>
                      <w:szCs w:val="18"/>
                    </w:rPr>
                  </w:pPr>
                  <w:r>
                    <w:rPr>
                      <w:rFonts w:hint="default" w:ascii="Times New Roman" w:hAnsi="Times New Roman" w:eastAsia="宋体" w:cs="Times New Roman"/>
                      <w:spacing w:val="6"/>
                      <w:sz w:val="18"/>
                      <w:szCs w:val="18"/>
                    </w:rPr>
                    <w:t>最大值</w:t>
                  </w:r>
                </w:p>
              </w:tc>
              <w:tc>
                <w:tcPr>
                  <w:tcW w:w="752"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7.23</w:t>
                  </w:r>
                </w:p>
              </w:tc>
              <w:tc>
                <w:tcPr>
                  <w:tcW w:w="840"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8"/>
                      <w:sz w:val="18"/>
                      <w:szCs w:val="18"/>
                    </w:rPr>
                    <w:t>14</w:t>
                  </w:r>
                </w:p>
              </w:tc>
              <w:tc>
                <w:tcPr>
                  <w:tcW w:w="959"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8"/>
                      <w:sz w:val="18"/>
                      <w:szCs w:val="18"/>
                    </w:rPr>
                    <w:t>12</w:t>
                  </w:r>
                </w:p>
              </w:tc>
              <w:tc>
                <w:tcPr>
                  <w:tcW w:w="84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3"/>
                      <w:sz w:val="18"/>
                      <w:szCs w:val="18"/>
                    </w:rPr>
                    <w:t>0.422</w:t>
                  </w:r>
                </w:p>
              </w:tc>
              <w:tc>
                <w:tcPr>
                  <w:tcW w:w="85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0.16</w:t>
                  </w:r>
                </w:p>
              </w:tc>
              <w:tc>
                <w:tcPr>
                  <w:tcW w:w="72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1.36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76" w:hRule="atLeast"/>
                <w:jc w:val="center"/>
              </w:trPr>
              <w:tc>
                <w:tcPr>
                  <w:tcW w:w="315" w:type="dxa"/>
                  <w:vMerge w:val="continue"/>
                  <w:textDirection w:val="tbRlV"/>
                  <w:vAlign w:val="center"/>
                </w:tcPr>
                <w:p>
                  <w:pPr>
                    <w:jc w:val="center"/>
                    <w:rPr>
                      <w:rFonts w:hint="default" w:ascii="Times New Roman" w:hAnsi="Times New Roman" w:eastAsia="宋体" w:cs="Times New Roman"/>
                      <w:sz w:val="18"/>
                      <w:szCs w:val="18"/>
                    </w:rPr>
                  </w:pPr>
                </w:p>
              </w:tc>
              <w:tc>
                <w:tcPr>
                  <w:tcW w:w="1701" w:type="dxa"/>
                  <w:vMerge w:val="continue"/>
                  <w:vAlign w:val="center"/>
                </w:tcPr>
                <w:p>
                  <w:pPr>
                    <w:jc w:val="center"/>
                    <w:rPr>
                      <w:rFonts w:hint="default" w:ascii="Times New Roman" w:hAnsi="Times New Roman" w:eastAsia="宋体" w:cs="Times New Roman"/>
                      <w:sz w:val="18"/>
                      <w:szCs w:val="18"/>
                    </w:rPr>
                  </w:pPr>
                </w:p>
              </w:tc>
              <w:tc>
                <w:tcPr>
                  <w:tcW w:w="1134" w:type="dxa"/>
                  <w:vAlign w:val="center"/>
                </w:tcPr>
                <w:p>
                  <w:pPr>
                    <w:pStyle w:val="203"/>
                    <w:jc w:val="center"/>
                    <w:rPr>
                      <w:rFonts w:hint="default" w:ascii="Times New Roman" w:hAnsi="Times New Roman" w:eastAsia="宋体" w:cs="Times New Roman"/>
                      <w:sz w:val="18"/>
                      <w:szCs w:val="18"/>
                    </w:rPr>
                  </w:pPr>
                  <w:r>
                    <w:rPr>
                      <w:rFonts w:hint="default" w:ascii="Times New Roman" w:hAnsi="Times New Roman" w:eastAsia="宋体" w:cs="Times New Roman"/>
                      <w:spacing w:val="6"/>
                      <w:sz w:val="18"/>
                      <w:szCs w:val="18"/>
                    </w:rPr>
                    <w:t>最小值</w:t>
                  </w:r>
                </w:p>
              </w:tc>
              <w:tc>
                <w:tcPr>
                  <w:tcW w:w="752"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7.08</w:t>
                  </w:r>
                </w:p>
              </w:tc>
              <w:tc>
                <w:tcPr>
                  <w:tcW w:w="840"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8"/>
                      <w:sz w:val="18"/>
                      <w:szCs w:val="18"/>
                    </w:rPr>
                    <w:t>10</w:t>
                  </w:r>
                </w:p>
              </w:tc>
              <w:tc>
                <w:tcPr>
                  <w:tcW w:w="959"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10"/>
                      <w:sz w:val="18"/>
                      <w:szCs w:val="18"/>
                    </w:rPr>
                    <w:t>11</w:t>
                  </w:r>
                </w:p>
              </w:tc>
              <w:tc>
                <w:tcPr>
                  <w:tcW w:w="84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3"/>
                      <w:sz w:val="18"/>
                      <w:szCs w:val="18"/>
                    </w:rPr>
                    <w:t>0.408</w:t>
                  </w:r>
                </w:p>
              </w:tc>
              <w:tc>
                <w:tcPr>
                  <w:tcW w:w="85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4"/>
                      <w:sz w:val="18"/>
                      <w:szCs w:val="18"/>
                    </w:rPr>
                    <w:t>0.12</w:t>
                  </w:r>
                </w:p>
              </w:tc>
              <w:tc>
                <w:tcPr>
                  <w:tcW w:w="72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1.28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91" w:hRule="atLeast"/>
                <w:jc w:val="center"/>
              </w:trPr>
              <w:tc>
                <w:tcPr>
                  <w:tcW w:w="315" w:type="dxa"/>
                  <w:vMerge w:val="continue"/>
                  <w:textDirection w:val="tbRlV"/>
                  <w:vAlign w:val="center"/>
                </w:tcPr>
                <w:p>
                  <w:pPr>
                    <w:jc w:val="center"/>
                    <w:rPr>
                      <w:rFonts w:hint="default" w:ascii="Times New Roman" w:hAnsi="Times New Roman" w:eastAsia="宋体" w:cs="Times New Roman"/>
                      <w:sz w:val="18"/>
                      <w:szCs w:val="18"/>
                    </w:rPr>
                  </w:pPr>
                </w:p>
              </w:tc>
              <w:tc>
                <w:tcPr>
                  <w:tcW w:w="1701" w:type="dxa"/>
                  <w:vMerge w:val="continue"/>
                  <w:vAlign w:val="center"/>
                </w:tcPr>
                <w:p>
                  <w:pPr>
                    <w:jc w:val="center"/>
                    <w:rPr>
                      <w:rFonts w:hint="default" w:ascii="Times New Roman" w:hAnsi="Times New Roman" w:eastAsia="宋体" w:cs="Times New Roman"/>
                      <w:sz w:val="18"/>
                      <w:szCs w:val="18"/>
                    </w:rPr>
                  </w:pPr>
                </w:p>
              </w:tc>
              <w:tc>
                <w:tcPr>
                  <w:tcW w:w="1134" w:type="dxa"/>
                  <w:vAlign w:val="center"/>
                </w:tcPr>
                <w:p>
                  <w:pPr>
                    <w:pStyle w:val="203"/>
                    <w:jc w:val="center"/>
                    <w:rPr>
                      <w:rFonts w:hint="default" w:ascii="Times New Roman" w:hAnsi="Times New Roman" w:eastAsia="宋体" w:cs="Times New Roman"/>
                      <w:sz w:val="18"/>
                      <w:szCs w:val="18"/>
                    </w:rPr>
                  </w:pPr>
                  <w:r>
                    <w:rPr>
                      <w:rFonts w:hint="default" w:ascii="Times New Roman" w:hAnsi="Times New Roman" w:eastAsia="宋体" w:cs="Times New Roman"/>
                      <w:spacing w:val="7"/>
                      <w:sz w:val="18"/>
                      <w:szCs w:val="18"/>
                    </w:rPr>
                    <w:t>超标率</w:t>
                  </w:r>
                </w:p>
              </w:tc>
              <w:tc>
                <w:tcPr>
                  <w:tcW w:w="752"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c>
                <w:tcPr>
                  <w:tcW w:w="840"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c>
                <w:tcPr>
                  <w:tcW w:w="959"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c>
                <w:tcPr>
                  <w:tcW w:w="84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c>
                <w:tcPr>
                  <w:tcW w:w="85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c>
                <w:tcPr>
                  <w:tcW w:w="72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75" w:hRule="atLeast"/>
                <w:jc w:val="center"/>
              </w:trPr>
              <w:tc>
                <w:tcPr>
                  <w:tcW w:w="315" w:type="dxa"/>
                  <w:vMerge w:val="continue"/>
                  <w:textDirection w:val="tbRlV"/>
                  <w:vAlign w:val="center"/>
                </w:tcPr>
                <w:p>
                  <w:pPr>
                    <w:jc w:val="center"/>
                    <w:rPr>
                      <w:rFonts w:hint="default" w:ascii="Times New Roman" w:hAnsi="Times New Roman" w:eastAsia="宋体" w:cs="Times New Roman"/>
                      <w:sz w:val="18"/>
                      <w:szCs w:val="18"/>
                    </w:rPr>
                  </w:pPr>
                </w:p>
              </w:tc>
              <w:tc>
                <w:tcPr>
                  <w:tcW w:w="1701" w:type="dxa"/>
                  <w:vMerge w:val="restart"/>
                  <w:vAlign w:val="center"/>
                </w:tcPr>
                <w:p>
                  <w:pPr>
                    <w:pStyle w:val="203"/>
                    <w:ind w:right="113" w:hanging="21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pacing w:val="7"/>
                      <w:sz w:val="18"/>
                      <w:szCs w:val="18"/>
                      <w:lang w:eastAsia="zh-CN"/>
                    </w:rPr>
                    <w:t>太仓市城东</w:t>
                  </w:r>
                  <w:r>
                    <w:rPr>
                      <w:rFonts w:hint="default" w:ascii="Times New Roman" w:hAnsi="Times New Roman" w:eastAsia="宋体" w:cs="Times New Roman"/>
                      <w:spacing w:val="6"/>
                      <w:sz w:val="18"/>
                      <w:szCs w:val="18"/>
                      <w:lang w:eastAsia="zh-CN"/>
                    </w:rPr>
                    <w:t>污水处</w:t>
                  </w:r>
                  <w:r>
                    <w:rPr>
                      <w:rFonts w:hint="default" w:ascii="Times New Roman" w:hAnsi="Times New Roman" w:eastAsia="宋体" w:cs="Times New Roman"/>
                      <w:spacing w:val="7"/>
                      <w:sz w:val="18"/>
                      <w:szCs w:val="18"/>
                      <w:lang w:eastAsia="zh-CN"/>
                    </w:rPr>
                    <w:t>理厂排口下</w:t>
                  </w:r>
                  <w:r>
                    <w:rPr>
                      <w:rFonts w:hint="default" w:ascii="Times New Roman" w:hAnsi="Times New Roman" w:eastAsia="宋体" w:cs="Times New Roman"/>
                      <w:spacing w:val="2"/>
                      <w:sz w:val="18"/>
                      <w:szCs w:val="18"/>
                      <w:lang w:eastAsia="zh-CN"/>
                    </w:rPr>
                    <w:t>游500m</w:t>
                  </w:r>
                </w:p>
              </w:tc>
              <w:tc>
                <w:tcPr>
                  <w:tcW w:w="1134" w:type="dxa"/>
                  <w:vAlign w:val="center"/>
                </w:tcPr>
                <w:p>
                  <w:pPr>
                    <w:pStyle w:val="203"/>
                    <w:jc w:val="center"/>
                    <w:rPr>
                      <w:rFonts w:hint="default" w:ascii="Times New Roman" w:hAnsi="Times New Roman" w:eastAsia="宋体" w:cs="Times New Roman"/>
                      <w:sz w:val="18"/>
                      <w:szCs w:val="18"/>
                    </w:rPr>
                  </w:pPr>
                  <w:r>
                    <w:rPr>
                      <w:rFonts w:hint="default" w:ascii="Times New Roman" w:hAnsi="Times New Roman" w:eastAsia="宋体" w:cs="Times New Roman"/>
                      <w:spacing w:val="6"/>
                      <w:sz w:val="18"/>
                      <w:szCs w:val="18"/>
                    </w:rPr>
                    <w:t>最大值</w:t>
                  </w:r>
                </w:p>
              </w:tc>
              <w:tc>
                <w:tcPr>
                  <w:tcW w:w="752"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4"/>
                      <w:sz w:val="18"/>
                      <w:szCs w:val="18"/>
                    </w:rPr>
                    <w:t>7.14</w:t>
                  </w:r>
                </w:p>
              </w:tc>
              <w:tc>
                <w:tcPr>
                  <w:tcW w:w="840"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8"/>
                      <w:sz w:val="18"/>
                      <w:szCs w:val="18"/>
                    </w:rPr>
                    <w:t>14</w:t>
                  </w:r>
                </w:p>
              </w:tc>
              <w:tc>
                <w:tcPr>
                  <w:tcW w:w="959"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8"/>
                      <w:sz w:val="18"/>
                      <w:szCs w:val="18"/>
                    </w:rPr>
                    <w:t>13</w:t>
                  </w:r>
                </w:p>
              </w:tc>
              <w:tc>
                <w:tcPr>
                  <w:tcW w:w="84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3"/>
                      <w:sz w:val="18"/>
                      <w:szCs w:val="18"/>
                    </w:rPr>
                    <w:t>0.452</w:t>
                  </w:r>
                </w:p>
              </w:tc>
              <w:tc>
                <w:tcPr>
                  <w:tcW w:w="85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0.16</w:t>
                  </w:r>
                </w:p>
              </w:tc>
              <w:tc>
                <w:tcPr>
                  <w:tcW w:w="72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4"/>
                      <w:sz w:val="18"/>
                      <w:szCs w:val="18"/>
                    </w:rPr>
                    <w:t>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75" w:hRule="atLeast"/>
                <w:jc w:val="center"/>
              </w:trPr>
              <w:tc>
                <w:tcPr>
                  <w:tcW w:w="315" w:type="dxa"/>
                  <w:vMerge w:val="continue"/>
                  <w:textDirection w:val="tbRlV"/>
                  <w:vAlign w:val="center"/>
                </w:tcPr>
                <w:p>
                  <w:pPr>
                    <w:jc w:val="center"/>
                    <w:rPr>
                      <w:rFonts w:hint="default" w:ascii="Times New Roman" w:hAnsi="Times New Roman" w:eastAsia="宋体" w:cs="Times New Roman"/>
                      <w:sz w:val="18"/>
                      <w:szCs w:val="18"/>
                    </w:rPr>
                  </w:pPr>
                </w:p>
              </w:tc>
              <w:tc>
                <w:tcPr>
                  <w:tcW w:w="1701" w:type="dxa"/>
                  <w:vMerge w:val="continue"/>
                  <w:vAlign w:val="center"/>
                </w:tcPr>
                <w:p>
                  <w:pPr>
                    <w:jc w:val="center"/>
                    <w:rPr>
                      <w:rFonts w:hint="default" w:ascii="Times New Roman" w:hAnsi="Times New Roman" w:eastAsia="宋体" w:cs="Times New Roman"/>
                      <w:sz w:val="18"/>
                      <w:szCs w:val="18"/>
                    </w:rPr>
                  </w:pPr>
                </w:p>
              </w:tc>
              <w:tc>
                <w:tcPr>
                  <w:tcW w:w="1134" w:type="dxa"/>
                  <w:vAlign w:val="center"/>
                </w:tcPr>
                <w:p>
                  <w:pPr>
                    <w:pStyle w:val="203"/>
                    <w:jc w:val="center"/>
                    <w:rPr>
                      <w:rFonts w:hint="default" w:ascii="Times New Roman" w:hAnsi="Times New Roman" w:eastAsia="宋体" w:cs="Times New Roman"/>
                      <w:sz w:val="18"/>
                      <w:szCs w:val="18"/>
                    </w:rPr>
                  </w:pPr>
                  <w:r>
                    <w:rPr>
                      <w:rFonts w:hint="default" w:ascii="Times New Roman" w:hAnsi="Times New Roman" w:eastAsia="宋体" w:cs="Times New Roman"/>
                      <w:spacing w:val="6"/>
                      <w:sz w:val="18"/>
                      <w:szCs w:val="18"/>
                    </w:rPr>
                    <w:t>最小值</w:t>
                  </w:r>
                </w:p>
              </w:tc>
              <w:tc>
                <w:tcPr>
                  <w:tcW w:w="752"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7.05</w:t>
                  </w:r>
                </w:p>
              </w:tc>
              <w:tc>
                <w:tcPr>
                  <w:tcW w:w="840"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10"/>
                      <w:sz w:val="18"/>
                      <w:szCs w:val="18"/>
                    </w:rPr>
                    <w:t>11</w:t>
                  </w:r>
                </w:p>
              </w:tc>
              <w:tc>
                <w:tcPr>
                  <w:tcW w:w="959"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10"/>
                      <w:sz w:val="18"/>
                      <w:szCs w:val="18"/>
                    </w:rPr>
                    <w:t>11</w:t>
                  </w:r>
                </w:p>
              </w:tc>
              <w:tc>
                <w:tcPr>
                  <w:tcW w:w="84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3"/>
                      <w:sz w:val="18"/>
                      <w:szCs w:val="18"/>
                    </w:rPr>
                    <w:t>0.401</w:t>
                  </w:r>
                </w:p>
              </w:tc>
              <w:tc>
                <w:tcPr>
                  <w:tcW w:w="85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5"/>
                      <w:sz w:val="18"/>
                      <w:szCs w:val="18"/>
                    </w:rPr>
                    <w:t>0.11</w:t>
                  </w:r>
                </w:p>
              </w:tc>
              <w:tc>
                <w:tcPr>
                  <w:tcW w:w="72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1.32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6" w:hRule="atLeast"/>
                <w:jc w:val="center"/>
              </w:trPr>
              <w:tc>
                <w:tcPr>
                  <w:tcW w:w="315" w:type="dxa"/>
                  <w:vMerge w:val="continue"/>
                  <w:textDirection w:val="tbRlV"/>
                  <w:vAlign w:val="center"/>
                </w:tcPr>
                <w:p>
                  <w:pPr>
                    <w:jc w:val="center"/>
                    <w:rPr>
                      <w:rFonts w:hint="default" w:ascii="Times New Roman" w:hAnsi="Times New Roman" w:eastAsia="宋体" w:cs="Times New Roman"/>
                      <w:sz w:val="18"/>
                      <w:szCs w:val="18"/>
                    </w:rPr>
                  </w:pPr>
                </w:p>
              </w:tc>
              <w:tc>
                <w:tcPr>
                  <w:tcW w:w="1701" w:type="dxa"/>
                  <w:vMerge w:val="continue"/>
                  <w:vAlign w:val="center"/>
                </w:tcPr>
                <w:p>
                  <w:pPr>
                    <w:jc w:val="center"/>
                    <w:rPr>
                      <w:rFonts w:hint="default" w:ascii="Times New Roman" w:hAnsi="Times New Roman" w:eastAsia="宋体" w:cs="Times New Roman"/>
                      <w:sz w:val="18"/>
                      <w:szCs w:val="18"/>
                    </w:rPr>
                  </w:pPr>
                </w:p>
              </w:tc>
              <w:tc>
                <w:tcPr>
                  <w:tcW w:w="1134" w:type="dxa"/>
                  <w:vAlign w:val="center"/>
                </w:tcPr>
                <w:p>
                  <w:pPr>
                    <w:pStyle w:val="203"/>
                    <w:jc w:val="center"/>
                    <w:rPr>
                      <w:rFonts w:hint="default" w:ascii="Times New Roman" w:hAnsi="Times New Roman" w:eastAsia="宋体" w:cs="Times New Roman"/>
                      <w:sz w:val="18"/>
                      <w:szCs w:val="18"/>
                    </w:rPr>
                  </w:pPr>
                  <w:r>
                    <w:rPr>
                      <w:rFonts w:hint="default" w:ascii="Times New Roman" w:hAnsi="Times New Roman" w:eastAsia="宋体" w:cs="Times New Roman"/>
                      <w:spacing w:val="7"/>
                      <w:sz w:val="18"/>
                      <w:szCs w:val="18"/>
                    </w:rPr>
                    <w:t>超标率</w:t>
                  </w:r>
                </w:p>
              </w:tc>
              <w:tc>
                <w:tcPr>
                  <w:tcW w:w="752"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c>
                <w:tcPr>
                  <w:tcW w:w="840"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c>
                <w:tcPr>
                  <w:tcW w:w="959"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c>
                <w:tcPr>
                  <w:tcW w:w="84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c>
                <w:tcPr>
                  <w:tcW w:w="85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c>
                <w:tcPr>
                  <w:tcW w:w="72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75" w:hRule="atLeast"/>
                <w:jc w:val="center"/>
              </w:trPr>
              <w:tc>
                <w:tcPr>
                  <w:tcW w:w="315" w:type="dxa"/>
                  <w:vMerge w:val="continue"/>
                  <w:textDirection w:val="tbRlV"/>
                  <w:vAlign w:val="center"/>
                </w:tcPr>
                <w:p>
                  <w:pPr>
                    <w:jc w:val="center"/>
                    <w:rPr>
                      <w:rFonts w:hint="default" w:ascii="Times New Roman" w:hAnsi="Times New Roman" w:eastAsia="宋体" w:cs="Times New Roman"/>
                      <w:sz w:val="18"/>
                      <w:szCs w:val="18"/>
                    </w:rPr>
                  </w:pPr>
                </w:p>
              </w:tc>
              <w:tc>
                <w:tcPr>
                  <w:tcW w:w="1701" w:type="dxa"/>
                  <w:vMerge w:val="restart"/>
                  <w:vAlign w:val="center"/>
                </w:tcPr>
                <w:p>
                  <w:pPr>
                    <w:pStyle w:val="203"/>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pacing w:val="7"/>
                      <w:sz w:val="18"/>
                      <w:szCs w:val="18"/>
                      <w:lang w:eastAsia="zh-CN"/>
                    </w:rPr>
                    <w:t>太仓市城东</w:t>
                  </w:r>
                  <w:r>
                    <w:rPr>
                      <w:rFonts w:hint="default" w:ascii="Times New Roman" w:hAnsi="Times New Roman" w:eastAsia="宋体" w:cs="Times New Roman"/>
                      <w:spacing w:val="6"/>
                      <w:sz w:val="18"/>
                      <w:szCs w:val="18"/>
                      <w:lang w:eastAsia="zh-CN"/>
                    </w:rPr>
                    <w:t>污水处</w:t>
                  </w:r>
                  <w:r>
                    <w:rPr>
                      <w:rFonts w:hint="default" w:ascii="Times New Roman" w:hAnsi="Times New Roman" w:eastAsia="宋体" w:cs="Times New Roman"/>
                      <w:spacing w:val="7"/>
                      <w:sz w:val="18"/>
                      <w:szCs w:val="18"/>
                      <w:lang w:eastAsia="zh-CN"/>
                    </w:rPr>
                    <w:t>理厂排口下</w:t>
                  </w:r>
                  <w:r>
                    <w:rPr>
                      <w:rFonts w:hint="default" w:ascii="Times New Roman" w:hAnsi="Times New Roman" w:eastAsia="宋体" w:cs="Times New Roman"/>
                      <w:sz w:val="18"/>
                      <w:szCs w:val="18"/>
                      <w:lang w:eastAsia="zh-CN"/>
                    </w:rPr>
                    <w:t>游1500m</w:t>
                  </w:r>
                </w:p>
              </w:tc>
              <w:tc>
                <w:tcPr>
                  <w:tcW w:w="1134" w:type="dxa"/>
                  <w:vAlign w:val="center"/>
                </w:tcPr>
                <w:p>
                  <w:pPr>
                    <w:pStyle w:val="203"/>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pacing w:val="6"/>
                      <w:sz w:val="18"/>
                      <w:szCs w:val="18"/>
                      <w:lang w:eastAsia="zh-CN"/>
                    </w:rPr>
                    <w:t>最大值</w:t>
                  </w:r>
                </w:p>
              </w:tc>
              <w:tc>
                <w:tcPr>
                  <w:tcW w:w="752"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7.08</w:t>
                  </w:r>
                </w:p>
              </w:tc>
              <w:tc>
                <w:tcPr>
                  <w:tcW w:w="840"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8"/>
                      <w:sz w:val="18"/>
                      <w:szCs w:val="18"/>
                    </w:rPr>
                    <w:t>14</w:t>
                  </w:r>
                </w:p>
              </w:tc>
              <w:tc>
                <w:tcPr>
                  <w:tcW w:w="959"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8"/>
                      <w:sz w:val="18"/>
                      <w:szCs w:val="18"/>
                    </w:rPr>
                    <w:t>13</w:t>
                  </w:r>
                </w:p>
              </w:tc>
              <w:tc>
                <w:tcPr>
                  <w:tcW w:w="84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3"/>
                      <w:sz w:val="18"/>
                      <w:szCs w:val="18"/>
                    </w:rPr>
                    <w:t>0.452</w:t>
                  </w:r>
                </w:p>
              </w:tc>
              <w:tc>
                <w:tcPr>
                  <w:tcW w:w="85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5"/>
                      <w:sz w:val="18"/>
                      <w:szCs w:val="18"/>
                    </w:rPr>
                    <w:t>0.11</w:t>
                  </w:r>
                </w:p>
              </w:tc>
              <w:tc>
                <w:tcPr>
                  <w:tcW w:w="72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1.41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76" w:hRule="atLeast"/>
                <w:jc w:val="center"/>
              </w:trPr>
              <w:tc>
                <w:tcPr>
                  <w:tcW w:w="315" w:type="dxa"/>
                  <w:vMerge w:val="continue"/>
                  <w:textDirection w:val="tbRlV"/>
                  <w:vAlign w:val="center"/>
                </w:tcPr>
                <w:p>
                  <w:pPr>
                    <w:jc w:val="center"/>
                    <w:rPr>
                      <w:rFonts w:hint="default" w:ascii="Times New Roman" w:hAnsi="Times New Roman" w:eastAsia="宋体" w:cs="Times New Roman"/>
                      <w:sz w:val="18"/>
                      <w:szCs w:val="18"/>
                    </w:rPr>
                  </w:pPr>
                </w:p>
              </w:tc>
              <w:tc>
                <w:tcPr>
                  <w:tcW w:w="1701" w:type="dxa"/>
                  <w:vMerge w:val="continue"/>
                  <w:vAlign w:val="center"/>
                </w:tcPr>
                <w:p>
                  <w:pPr>
                    <w:jc w:val="center"/>
                    <w:rPr>
                      <w:rFonts w:hint="default" w:ascii="Times New Roman" w:hAnsi="Times New Roman" w:eastAsia="宋体" w:cs="Times New Roman"/>
                      <w:sz w:val="18"/>
                      <w:szCs w:val="18"/>
                    </w:rPr>
                  </w:pPr>
                </w:p>
              </w:tc>
              <w:tc>
                <w:tcPr>
                  <w:tcW w:w="1134" w:type="dxa"/>
                  <w:vAlign w:val="center"/>
                </w:tcPr>
                <w:p>
                  <w:pPr>
                    <w:pStyle w:val="203"/>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pacing w:val="6"/>
                      <w:sz w:val="18"/>
                      <w:szCs w:val="18"/>
                      <w:lang w:eastAsia="zh-CN"/>
                    </w:rPr>
                    <w:t>最小值</w:t>
                  </w:r>
                </w:p>
              </w:tc>
              <w:tc>
                <w:tcPr>
                  <w:tcW w:w="752"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6.97</w:t>
                  </w:r>
                </w:p>
              </w:tc>
              <w:tc>
                <w:tcPr>
                  <w:tcW w:w="840"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10"/>
                      <w:sz w:val="18"/>
                      <w:szCs w:val="18"/>
                    </w:rPr>
                    <w:t>11</w:t>
                  </w:r>
                </w:p>
              </w:tc>
              <w:tc>
                <w:tcPr>
                  <w:tcW w:w="959"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10"/>
                      <w:sz w:val="18"/>
                      <w:szCs w:val="18"/>
                    </w:rPr>
                    <w:t>11</w:t>
                  </w:r>
                </w:p>
              </w:tc>
              <w:tc>
                <w:tcPr>
                  <w:tcW w:w="84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3"/>
                      <w:sz w:val="18"/>
                      <w:szCs w:val="18"/>
                    </w:rPr>
                    <w:t>0.392</w:t>
                  </w:r>
                </w:p>
              </w:tc>
              <w:tc>
                <w:tcPr>
                  <w:tcW w:w="85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5"/>
                      <w:sz w:val="18"/>
                      <w:szCs w:val="18"/>
                    </w:rPr>
                    <w:t>0.11</w:t>
                  </w:r>
                </w:p>
              </w:tc>
              <w:tc>
                <w:tcPr>
                  <w:tcW w:w="72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1.35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74" w:hRule="atLeast"/>
                <w:jc w:val="center"/>
              </w:trPr>
              <w:tc>
                <w:tcPr>
                  <w:tcW w:w="315" w:type="dxa"/>
                  <w:vMerge w:val="continue"/>
                  <w:textDirection w:val="tbRlV"/>
                  <w:vAlign w:val="center"/>
                </w:tcPr>
                <w:p>
                  <w:pPr>
                    <w:jc w:val="center"/>
                    <w:rPr>
                      <w:rFonts w:hint="default" w:ascii="Times New Roman" w:hAnsi="Times New Roman" w:eastAsia="宋体" w:cs="Times New Roman"/>
                      <w:sz w:val="18"/>
                      <w:szCs w:val="18"/>
                    </w:rPr>
                  </w:pPr>
                </w:p>
              </w:tc>
              <w:tc>
                <w:tcPr>
                  <w:tcW w:w="1701" w:type="dxa"/>
                  <w:vMerge w:val="continue"/>
                  <w:vAlign w:val="center"/>
                </w:tcPr>
                <w:p>
                  <w:pPr>
                    <w:jc w:val="center"/>
                    <w:rPr>
                      <w:rFonts w:hint="default" w:ascii="Times New Roman" w:hAnsi="Times New Roman" w:eastAsia="宋体" w:cs="Times New Roman"/>
                      <w:sz w:val="18"/>
                      <w:szCs w:val="18"/>
                    </w:rPr>
                  </w:pPr>
                </w:p>
              </w:tc>
              <w:tc>
                <w:tcPr>
                  <w:tcW w:w="1134" w:type="dxa"/>
                  <w:vAlign w:val="center"/>
                </w:tcPr>
                <w:p>
                  <w:pPr>
                    <w:pStyle w:val="203"/>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pacing w:val="7"/>
                      <w:sz w:val="18"/>
                      <w:szCs w:val="18"/>
                      <w:lang w:eastAsia="zh-CN"/>
                    </w:rPr>
                    <w:t>超标率</w:t>
                  </w:r>
                </w:p>
              </w:tc>
              <w:tc>
                <w:tcPr>
                  <w:tcW w:w="752"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c>
                <w:tcPr>
                  <w:tcW w:w="840"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c>
                <w:tcPr>
                  <w:tcW w:w="959"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c>
                <w:tcPr>
                  <w:tcW w:w="84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c>
                <w:tcPr>
                  <w:tcW w:w="85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c>
                <w:tcPr>
                  <w:tcW w:w="72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center"/>
              </w:trPr>
              <w:tc>
                <w:tcPr>
                  <w:tcW w:w="3150" w:type="dxa"/>
                  <w:gridSpan w:val="3"/>
                  <w:vAlign w:val="center"/>
                </w:tcPr>
                <w:p>
                  <w:pPr>
                    <w:pStyle w:val="203"/>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pacing w:val="9"/>
                      <w:sz w:val="18"/>
                      <w:szCs w:val="18"/>
                      <w:lang w:eastAsia="zh-CN"/>
                    </w:rPr>
                    <w:t>新浏河执行Ⅳ类标准</w:t>
                  </w:r>
                </w:p>
              </w:tc>
              <w:tc>
                <w:tcPr>
                  <w:tcW w:w="752"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1"/>
                      <w:sz w:val="18"/>
                      <w:szCs w:val="18"/>
                    </w:rPr>
                    <w:t>6~9</w:t>
                  </w:r>
                </w:p>
              </w:tc>
              <w:tc>
                <w:tcPr>
                  <w:tcW w:w="840"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30</w:t>
                  </w:r>
                </w:p>
              </w:tc>
              <w:tc>
                <w:tcPr>
                  <w:tcW w:w="959"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8"/>
                      <w:sz w:val="18"/>
                      <w:szCs w:val="18"/>
                    </w:rPr>
                    <w:t>10</w:t>
                  </w:r>
                </w:p>
              </w:tc>
              <w:tc>
                <w:tcPr>
                  <w:tcW w:w="84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4"/>
                      <w:sz w:val="18"/>
                      <w:szCs w:val="18"/>
                    </w:rPr>
                    <w:t>1.5</w:t>
                  </w:r>
                </w:p>
              </w:tc>
              <w:tc>
                <w:tcPr>
                  <w:tcW w:w="85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1"/>
                      <w:sz w:val="18"/>
                      <w:szCs w:val="18"/>
                    </w:rPr>
                    <w:t>0.3</w:t>
                  </w:r>
                </w:p>
              </w:tc>
              <w:tc>
                <w:tcPr>
                  <w:tcW w:w="726"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pacing w:val="-4"/>
                      <w:sz w:val="18"/>
                      <w:szCs w:val="18"/>
                    </w:rPr>
                    <w:t>1.5</w:t>
                  </w:r>
                </w:p>
              </w:tc>
            </w:tr>
          </w:tbl>
          <w:p>
            <w:pPr>
              <w:adjustRightInd w:val="0"/>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根据监测结果，新浏河水质满足《地表水环境质量标准》（GB3838-2002）Ⅳ类水体功能要求，区域水环境质量较好。</w:t>
            </w:r>
          </w:p>
          <w:p>
            <w:pPr>
              <w:snapToGrid w:val="0"/>
              <w:spacing w:line="360" w:lineRule="auto"/>
              <w:ind w:firstLine="211" w:firstLineChars="100"/>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3、声环境</w:t>
            </w:r>
          </w:p>
          <w:p>
            <w:pPr>
              <w:widowControl/>
              <w:spacing w:line="360" w:lineRule="auto"/>
              <w:ind w:firstLine="420" w:firstLineChars="200"/>
              <w:jc w:val="left"/>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根据《2022年度太仓市环境状况公报》，2022年太仓市共有区域环境噪声点位112个，昼间平均等效声级为54.0分贝，等级划分为二级“较好”。道路交通噪声点位共41个，昼间平均等效声级为63.4分贝，评价等级为一级“好”。功能区噪声点位共8个，1-4类功能区昼、夜间等效声级均达到相应标准。</w:t>
            </w:r>
          </w:p>
          <w:p>
            <w:pPr>
              <w:snapToGrid w:val="0"/>
              <w:spacing w:line="360" w:lineRule="auto"/>
              <w:ind w:firstLine="211" w:firstLineChars="100"/>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4、生态环境质量</w:t>
            </w:r>
          </w:p>
          <w:p>
            <w:pPr>
              <w:snapToGrid w:val="0"/>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根据《建设项目环境影响报告表编制技术指南（污染影响类）（试行）》，项目位于</w:t>
            </w:r>
            <w:r>
              <w:rPr>
                <w:rFonts w:hint="default" w:ascii="Times New Roman" w:hAnsi="Times New Roman" w:eastAsia="宋体" w:cs="Times New Roman"/>
                <w:color w:val="auto"/>
                <w:sz w:val="21"/>
                <w:szCs w:val="21"/>
                <w:lang w:val="en-US" w:eastAsia="zh-CN"/>
              </w:rPr>
              <w:t>高新区</w:t>
            </w:r>
            <w:r>
              <w:rPr>
                <w:rFonts w:hint="default" w:ascii="Times New Roman" w:hAnsi="Times New Roman" w:eastAsia="宋体" w:cs="Times New Roman"/>
                <w:color w:val="auto"/>
                <w:sz w:val="21"/>
                <w:szCs w:val="21"/>
              </w:rPr>
              <w:t>郑和中路376号20幢商铺06室</w:t>
            </w:r>
            <w:r>
              <w:rPr>
                <w:rFonts w:hint="default" w:ascii="Times New Roman" w:hAnsi="Times New Roman" w:eastAsia="宋体" w:cs="Times New Roman"/>
                <w:sz w:val="21"/>
                <w:szCs w:val="21"/>
              </w:rPr>
              <w:t>，不新增用地</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且用地范围内无生态环境保护目标</w:t>
            </w:r>
            <w:r>
              <w:rPr>
                <w:rFonts w:hint="default" w:ascii="Times New Roman" w:hAnsi="Times New Roman" w:eastAsia="宋体" w:cs="Times New Roman"/>
                <w:sz w:val="21"/>
                <w:szCs w:val="21"/>
              </w:rPr>
              <w:t>，无需进行生态现状调查。</w:t>
            </w:r>
          </w:p>
          <w:p>
            <w:pPr>
              <w:widowControl/>
              <w:spacing w:line="360" w:lineRule="auto"/>
              <w:ind w:firstLine="227" w:firstLineChars="100"/>
              <w:rPr>
                <w:rFonts w:hint="default" w:ascii="Times New Roman" w:hAnsi="Times New Roman" w:eastAsia="宋体" w:cs="Times New Roman"/>
                <w:spacing w:val="8"/>
                <w:kern w:val="0"/>
                <w:sz w:val="21"/>
                <w:szCs w:val="21"/>
              </w:rPr>
            </w:pPr>
            <w:r>
              <w:rPr>
                <w:rFonts w:hint="default" w:ascii="Times New Roman" w:hAnsi="Times New Roman" w:eastAsia="宋体" w:cs="Times New Roman"/>
                <w:b/>
                <w:spacing w:val="8"/>
                <w:kern w:val="0"/>
                <w:sz w:val="21"/>
                <w:szCs w:val="21"/>
              </w:rPr>
              <w:t>5、电磁辐射</w:t>
            </w:r>
          </w:p>
          <w:p>
            <w:pPr>
              <w:widowControl/>
              <w:spacing w:line="360" w:lineRule="auto"/>
              <w:ind w:firstLine="452" w:firstLineChars="200"/>
              <w:rPr>
                <w:rFonts w:hint="default" w:ascii="Times New Roman" w:hAnsi="Times New Roman" w:eastAsia="宋体" w:cs="Times New Roman"/>
                <w:spacing w:val="8"/>
                <w:kern w:val="0"/>
                <w:sz w:val="21"/>
                <w:szCs w:val="21"/>
              </w:rPr>
            </w:pPr>
            <w:r>
              <w:rPr>
                <w:rFonts w:hint="default" w:ascii="Times New Roman" w:hAnsi="Times New Roman" w:eastAsia="宋体" w:cs="Times New Roman"/>
                <w:spacing w:val="8"/>
                <w:kern w:val="0"/>
                <w:sz w:val="21"/>
                <w:szCs w:val="21"/>
              </w:rPr>
              <w:t>本项目不属于电磁辐射类项目，不对电磁辐射现状开展监测与评价。</w:t>
            </w:r>
          </w:p>
          <w:p>
            <w:pPr>
              <w:widowControl/>
              <w:spacing w:line="360" w:lineRule="auto"/>
              <w:ind w:firstLine="227" w:firstLineChars="100"/>
              <w:rPr>
                <w:rFonts w:hint="default" w:ascii="Times New Roman" w:hAnsi="Times New Roman" w:eastAsia="宋体" w:cs="Times New Roman"/>
                <w:spacing w:val="8"/>
                <w:kern w:val="0"/>
                <w:sz w:val="21"/>
                <w:szCs w:val="21"/>
              </w:rPr>
            </w:pPr>
            <w:r>
              <w:rPr>
                <w:rFonts w:hint="default" w:ascii="Times New Roman" w:hAnsi="Times New Roman" w:eastAsia="宋体" w:cs="Times New Roman"/>
                <w:b/>
                <w:spacing w:val="8"/>
                <w:kern w:val="0"/>
                <w:sz w:val="21"/>
                <w:szCs w:val="21"/>
              </w:rPr>
              <w:t>6、地下水、土壤环境</w:t>
            </w:r>
          </w:p>
          <w:p>
            <w:pPr>
              <w:widowControl/>
              <w:shd w:val="clear" w:color="auto" w:fill="FFFFFF"/>
              <w:spacing w:line="360" w:lineRule="auto"/>
              <w:ind w:firstLine="452" w:firstLineChars="200"/>
              <w:jc w:val="left"/>
              <w:rPr>
                <w:rFonts w:ascii="宋体" w:hAnsi="宋体"/>
                <w:spacing w:val="8"/>
                <w:kern w:val="0"/>
                <w:sz w:val="24"/>
              </w:rPr>
            </w:pPr>
            <w:r>
              <w:rPr>
                <w:rFonts w:hint="default" w:ascii="Times New Roman" w:hAnsi="Times New Roman" w:eastAsia="宋体" w:cs="Times New Roman"/>
                <w:spacing w:val="8"/>
                <w:kern w:val="0"/>
                <w:sz w:val="21"/>
                <w:szCs w:val="21"/>
              </w:rPr>
              <w:t>本项目厂区地面按照分区防控要求采用硬化防渗等措施，正常情况下不会对周边土壤、地下水环境造成影响，故本项目不开展地下水、土壤环境质量现状调查。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355" w:type="pct"/>
            <w:vAlign w:val="center"/>
          </w:tcPr>
          <w:p>
            <w:pPr>
              <w:adjustRightInd w:val="0"/>
              <w:snapToGrid w:val="0"/>
              <w:jc w:val="center"/>
              <w:rPr>
                <w:kern w:val="0"/>
                <w:szCs w:val="21"/>
              </w:rPr>
            </w:pPr>
            <w:r>
              <w:rPr>
                <w:kern w:val="0"/>
                <w:szCs w:val="21"/>
              </w:rPr>
              <w:t>环境</w:t>
            </w:r>
          </w:p>
          <w:p>
            <w:pPr>
              <w:adjustRightInd w:val="0"/>
              <w:snapToGrid w:val="0"/>
              <w:jc w:val="center"/>
              <w:rPr>
                <w:kern w:val="0"/>
                <w:szCs w:val="21"/>
              </w:rPr>
            </w:pPr>
            <w:r>
              <w:rPr>
                <w:kern w:val="0"/>
                <w:szCs w:val="21"/>
              </w:rPr>
              <w:t>保护</w:t>
            </w:r>
          </w:p>
          <w:p>
            <w:pPr>
              <w:adjustRightInd w:val="0"/>
              <w:snapToGrid w:val="0"/>
              <w:jc w:val="center"/>
              <w:rPr>
                <w:color w:val="FF0000"/>
                <w:kern w:val="0"/>
                <w:szCs w:val="21"/>
              </w:rPr>
            </w:pPr>
            <w:r>
              <w:rPr>
                <w:kern w:val="0"/>
                <w:szCs w:val="21"/>
              </w:rPr>
              <w:t>目标</w:t>
            </w:r>
          </w:p>
        </w:tc>
        <w:tc>
          <w:tcPr>
            <w:tcW w:w="4644" w:type="pct"/>
            <w:vAlign w:val="center"/>
          </w:tcPr>
          <w:p>
            <w:pPr>
              <w:spacing w:line="360" w:lineRule="auto"/>
              <w:ind w:right="195" w:rightChars="93" w:firstLine="420"/>
              <w:jc w:val="lef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1.大气环境</w:t>
            </w:r>
          </w:p>
          <w:p>
            <w:pPr>
              <w:spacing w:line="360" w:lineRule="auto"/>
              <w:ind w:firstLine="452" w:firstLineChars="200"/>
              <w:rPr>
                <w:rFonts w:hint="default" w:ascii="Times New Roman" w:hAnsi="Times New Roman" w:eastAsia="宋体" w:cs="Times New Roman"/>
                <w:sz w:val="21"/>
                <w:szCs w:val="21"/>
              </w:rPr>
            </w:pPr>
            <w:r>
              <w:rPr>
                <w:rFonts w:hint="default" w:ascii="Times New Roman" w:hAnsi="Times New Roman" w:eastAsia="宋体" w:cs="Times New Roman"/>
                <w:spacing w:val="8"/>
                <w:kern w:val="0"/>
                <w:sz w:val="21"/>
                <w:szCs w:val="21"/>
              </w:rPr>
              <w:t>建设项目位于</w:t>
            </w:r>
            <w:r>
              <w:rPr>
                <w:rFonts w:hint="default" w:ascii="Times New Roman" w:hAnsi="Times New Roman" w:eastAsia="宋体" w:cs="Times New Roman"/>
                <w:sz w:val="21"/>
                <w:szCs w:val="21"/>
              </w:rPr>
              <w:t>太仓市</w:t>
            </w:r>
            <w:r>
              <w:rPr>
                <w:rFonts w:hint="default" w:ascii="Times New Roman" w:hAnsi="Times New Roman" w:eastAsia="宋体" w:cs="Times New Roman"/>
                <w:color w:val="auto"/>
                <w:sz w:val="21"/>
                <w:szCs w:val="21"/>
                <w:lang w:val="en-US" w:eastAsia="zh-CN"/>
              </w:rPr>
              <w:t>高新区</w:t>
            </w:r>
            <w:r>
              <w:rPr>
                <w:rFonts w:hint="default" w:ascii="Times New Roman" w:hAnsi="Times New Roman" w:eastAsia="宋体" w:cs="Times New Roman"/>
                <w:color w:val="auto"/>
                <w:sz w:val="21"/>
                <w:szCs w:val="21"/>
              </w:rPr>
              <w:t>郑和中路376号20幢商铺06室</w:t>
            </w:r>
            <w:r>
              <w:rPr>
                <w:rFonts w:hint="default" w:ascii="Times New Roman" w:hAnsi="Times New Roman" w:eastAsia="宋体" w:cs="Times New Roman"/>
                <w:spacing w:val="8"/>
                <w:kern w:val="0"/>
                <w:sz w:val="21"/>
                <w:szCs w:val="21"/>
              </w:rPr>
              <w:t>，根据</w:t>
            </w:r>
            <w:r>
              <w:rPr>
                <w:rFonts w:hint="default" w:ascii="Times New Roman" w:hAnsi="Times New Roman" w:eastAsia="宋体" w:cs="Times New Roman"/>
                <w:spacing w:val="8"/>
                <w:kern w:val="0"/>
                <w:sz w:val="21"/>
                <w:szCs w:val="21"/>
                <w:lang w:eastAsia="zh-CN"/>
              </w:rPr>
              <w:t>现场勘查</w:t>
            </w:r>
            <w:r>
              <w:rPr>
                <w:rFonts w:hint="default" w:ascii="Times New Roman" w:hAnsi="Times New Roman" w:eastAsia="宋体" w:cs="Times New Roman"/>
                <w:spacing w:val="8"/>
                <w:kern w:val="0"/>
                <w:sz w:val="21"/>
                <w:szCs w:val="21"/>
              </w:rPr>
              <w:t>，项目周边500m范围内大气环境保护目标见表3-</w:t>
            </w:r>
            <w:r>
              <w:rPr>
                <w:rFonts w:hint="default" w:ascii="Times New Roman" w:hAnsi="Times New Roman" w:eastAsia="宋体" w:cs="Times New Roman"/>
                <w:spacing w:val="8"/>
                <w:kern w:val="0"/>
                <w:sz w:val="21"/>
                <w:szCs w:val="21"/>
                <w:lang w:val="en-US" w:eastAsia="zh-CN"/>
              </w:rPr>
              <w:t>5</w:t>
            </w:r>
            <w:r>
              <w:rPr>
                <w:rFonts w:hint="default" w:ascii="Times New Roman" w:hAnsi="Times New Roman" w:eastAsia="宋体" w:cs="Times New Roman"/>
                <w:spacing w:val="8"/>
                <w:kern w:val="0"/>
                <w:sz w:val="21"/>
                <w:szCs w:val="21"/>
              </w:rPr>
              <w:t>。</w:t>
            </w:r>
          </w:p>
          <w:p>
            <w:pPr>
              <w:spacing w:line="360" w:lineRule="auto"/>
              <w:ind w:right="195" w:rightChars="93"/>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表3-</w:t>
            </w:r>
            <w:r>
              <w:rPr>
                <w:rFonts w:hint="default" w:ascii="Times New Roman" w:hAnsi="Times New Roman" w:eastAsia="宋体" w:cs="Times New Roman"/>
                <w:b/>
                <w:sz w:val="21"/>
                <w:szCs w:val="21"/>
                <w:lang w:val="en-US" w:eastAsia="zh-CN"/>
              </w:rPr>
              <w:t>4</w:t>
            </w:r>
            <w:r>
              <w:rPr>
                <w:rFonts w:hint="default" w:ascii="Times New Roman" w:hAnsi="Times New Roman" w:eastAsia="宋体" w:cs="Times New Roman"/>
                <w:b/>
                <w:sz w:val="21"/>
                <w:szCs w:val="21"/>
              </w:rPr>
              <w:t>大气环境保护目标表</w:t>
            </w:r>
          </w:p>
          <w:tbl>
            <w:tblPr>
              <w:tblStyle w:val="3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1" w:type="dxa"/>
                <w:bottom w:w="0" w:type="dxa"/>
                <w:right w:w="11" w:type="dxa"/>
              </w:tblCellMar>
            </w:tblPr>
            <w:tblGrid>
              <w:gridCol w:w="1047"/>
              <w:gridCol w:w="1557"/>
              <w:gridCol w:w="996"/>
              <w:gridCol w:w="1264"/>
              <w:gridCol w:w="1264"/>
              <w:gridCol w:w="291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1" w:type="dxa"/>
                  <w:bottom w:w="0" w:type="dxa"/>
                  <w:right w:w="11" w:type="dxa"/>
                </w:tblCellMar>
              </w:tblPrEx>
              <w:trPr>
                <w:trHeight w:val="397" w:hRule="atLeast"/>
              </w:trPr>
              <w:tc>
                <w:tcPr>
                  <w:tcW w:w="579"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保护项目</w:t>
                  </w:r>
                </w:p>
              </w:tc>
              <w:tc>
                <w:tcPr>
                  <w:tcW w:w="861"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保护目标</w:t>
                  </w:r>
                </w:p>
              </w:tc>
              <w:tc>
                <w:tcPr>
                  <w:tcW w:w="551"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方位</w:t>
                  </w:r>
                </w:p>
              </w:tc>
              <w:tc>
                <w:tcPr>
                  <w:tcW w:w="699"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距离（m）</w:t>
                  </w:r>
                </w:p>
              </w:tc>
              <w:tc>
                <w:tcPr>
                  <w:tcW w:w="699"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规模</w:t>
                  </w:r>
                </w:p>
              </w:tc>
              <w:tc>
                <w:tcPr>
                  <w:tcW w:w="1609"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保护级别</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1" w:type="dxa"/>
                  <w:bottom w:w="0" w:type="dxa"/>
                  <w:right w:w="11" w:type="dxa"/>
                </w:tblCellMar>
              </w:tblPrEx>
              <w:trPr>
                <w:trHeight w:val="422" w:hRule="atLeast"/>
              </w:trPr>
              <w:tc>
                <w:tcPr>
                  <w:tcW w:w="579" w:type="pct"/>
                  <w:vMerge w:val="restart"/>
                  <w:vAlign w:val="center"/>
                </w:tcPr>
                <w:p>
                  <w:pPr>
                    <w:jc w:val="center"/>
                    <w:rPr>
                      <w:rFonts w:hint="default" w:ascii="Times New Roman" w:hAnsi="Times New Roman" w:eastAsia="宋体" w:cs="Times New Roman"/>
                      <w:bCs/>
                      <w:sz w:val="18"/>
                      <w:szCs w:val="18"/>
                    </w:rPr>
                  </w:pPr>
                  <w:r>
                    <w:rPr>
                      <w:rFonts w:hint="default" w:ascii="Times New Roman" w:hAnsi="Times New Roman" w:eastAsia="宋体" w:cs="Times New Roman"/>
                      <w:sz w:val="18"/>
                      <w:szCs w:val="18"/>
                    </w:rPr>
                    <w:t>环境空气</w:t>
                  </w:r>
                </w:p>
              </w:tc>
              <w:tc>
                <w:tcPr>
                  <w:tcW w:w="86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万鸿大唐时代</w:t>
                  </w:r>
                </w:p>
              </w:tc>
              <w:tc>
                <w:tcPr>
                  <w:tcW w:w="55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N</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eastAsia" w:cs="Times New Roman"/>
                      <w:sz w:val="18"/>
                      <w:szCs w:val="18"/>
                      <w:lang w:val="en-US" w:eastAsia="zh-CN"/>
                    </w:rPr>
                    <w:t>82</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500人</w:t>
                  </w:r>
                </w:p>
              </w:tc>
              <w:tc>
                <w:tcPr>
                  <w:tcW w:w="1609" w:type="pct"/>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《环境空气质量标准》</w:t>
                  </w:r>
                </w:p>
                <w:p>
                  <w:pPr>
                    <w:jc w:val="center"/>
                    <w:rPr>
                      <w:rFonts w:hint="default" w:ascii="Times New Roman" w:hAnsi="Times New Roman" w:eastAsia="宋体" w:cs="Times New Roman"/>
                      <w:bCs/>
                      <w:sz w:val="18"/>
                      <w:szCs w:val="18"/>
                    </w:rPr>
                  </w:pPr>
                  <w:r>
                    <w:rPr>
                      <w:rFonts w:hint="default" w:ascii="Times New Roman" w:hAnsi="Times New Roman" w:eastAsia="宋体" w:cs="Times New Roman"/>
                      <w:sz w:val="18"/>
                      <w:szCs w:val="18"/>
                    </w:rPr>
                    <w:t>（</w:t>
                  </w:r>
                  <w:r>
                    <w:rPr>
                      <w:rFonts w:hint="default" w:ascii="Times New Roman" w:hAnsi="Times New Roman" w:eastAsia="宋体" w:cs="Times New Roman"/>
                      <w:kern w:val="0"/>
                      <w:sz w:val="18"/>
                      <w:szCs w:val="18"/>
                    </w:rPr>
                    <w:t>GB3095-2012</w:t>
                  </w:r>
                  <w:r>
                    <w:rPr>
                      <w:rFonts w:hint="default" w:ascii="Times New Roman" w:hAnsi="Times New Roman" w:eastAsia="宋体" w:cs="Times New Roman"/>
                      <w:sz w:val="18"/>
                      <w:szCs w:val="18"/>
                    </w:rPr>
                    <w:t>）中二级标准</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1" w:type="dxa"/>
                  <w:bottom w:w="0" w:type="dxa"/>
                  <w:right w:w="11" w:type="dxa"/>
                </w:tblCellMar>
              </w:tblPrEx>
              <w:trPr>
                <w:trHeight w:val="422" w:hRule="atLeast"/>
              </w:trPr>
              <w:tc>
                <w:tcPr>
                  <w:tcW w:w="579" w:type="pct"/>
                  <w:vMerge w:val="continue"/>
                  <w:vAlign w:val="center"/>
                </w:tcPr>
                <w:p>
                  <w:pPr>
                    <w:jc w:val="center"/>
                    <w:rPr>
                      <w:rFonts w:hint="default" w:ascii="Times New Roman" w:hAnsi="Times New Roman" w:eastAsia="宋体" w:cs="Times New Roman"/>
                      <w:color w:val="FF0000"/>
                      <w:sz w:val="18"/>
                      <w:szCs w:val="18"/>
                    </w:rPr>
                  </w:pPr>
                </w:p>
              </w:tc>
              <w:tc>
                <w:tcPr>
                  <w:tcW w:w="86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顶峰丽景嘉园</w:t>
                  </w:r>
                </w:p>
              </w:tc>
              <w:tc>
                <w:tcPr>
                  <w:tcW w:w="551"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NW</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247</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507人</w:t>
                  </w:r>
                </w:p>
              </w:tc>
              <w:tc>
                <w:tcPr>
                  <w:tcW w:w="1609" w:type="pct"/>
                  <w:vMerge w:val="continue"/>
                  <w:vAlign w:val="center"/>
                </w:tcPr>
                <w:p>
                  <w:pPr>
                    <w:jc w:val="center"/>
                    <w:rPr>
                      <w:rFonts w:hint="default" w:ascii="Times New Roman" w:hAnsi="Times New Roman" w:eastAsia="宋体" w:cs="Times New Roman"/>
                      <w:color w:val="FF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422" w:hRule="atLeast"/>
              </w:trPr>
              <w:tc>
                <w:tcPr>
                  <w:tcW w:w="579" w:type="pct"/>
                  <w:vMerge w:val="continue"/>
                  <w:vAlign w:val="center"/>
                </w:tcPr>
                <w:p>
                  <w:pPr>
                    <w:jc w:val="center"/>
                    <w:rPr>
                      <w:rFonts w:hint="default" w:ascii="Times New Roman" w:hAnsi="Times New Roman" w:eastAsia="宋体" w:cs="Times New Roman"/>
                      <w:color w:val="FF0000"/>
                      <w:sz w:val="18"/>
                      <w:szCs w:val="18"/>
                    </w:rPr>
                  </w:pPr>
                </w:p>
              </w:tc>
              <w:tc>
                <w:tcPr>
                  <w:tcW w:w="86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建阳花园·二村</w:t>
                  </w:r>
                </w:p>
              </w:tc>
              <w:tc>
                <w:tcPr>
                  <w:tcW w:w="55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SW</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330</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210人</w:t>
                  </w:r>
                </w:p>
              </w:tc>
              <w:tc>
                <w:tcPr>
                  <w:tcW w:w="1609" w:type="pct"/>
                  <w:vMerge w:val="continue"/>
                  <w:vAlign w:val="center"/>
                </w:tcPr>
                <w:p>
                  <w:pPr>
                    <w:jc w:val="center"/>
                    <w:rPr>
                      <w:rFonts w:hint="default" w:ascii="Times New Roman" w:hAnsi="Times New Roman" w:eastAsia="宋体" w:cs="Times New Roman"/>
                      <w:color w:val="FF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1" w:type="dxa"/>
                  <w:bottom w:w="0" w:type="dxa"/>
                  <w:right w:w="11" w:type="dxa"/>
                </w:tblCellMar>
              </w:tblPrEx>
              <w:trPr>
                <w:trHeight w:val="422" w:hRule="atLeast"/>
              </w:trPr>
              <w:tc>
                <w:tcPr>
                  <w:tcW w:w="579" w:type="pct"/>
                  <w:vMerge w:val="continue"/>
                  <w:vAlign w:val="center"/>
                </w:tcPr>
                <w:p>
                  <w:pPr>
                    <w:jc w:val="center"/>
                    <w:rPr>
                      <w:rFonts w:hint="default" w:ascii="Times New Roman" w:hAnsi="Times New Roman" w:eastAsia="宋体" w:cs="Times New Roman"/>
                      <w:color w:val="FF0000"/>
                      <w:sz w:val="18"/>
                      <w:szCs w:val="18"/>
                    </w:rPr>
                  </w:pPr>
                </w:p>
              </w:tc>
              <w:tc>
                <w:tcPr>
                  <w:tcW w:w="86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太仓市明德高级中学</w:t>
                  </w:r>
                </w:p>
              </w:tc>
              <w:tc>
                <w:tcPr>
                  <w:tcW w:w="55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S</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112</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2000人</w:t>
                  </w:r>
                </w:p>
              </w:tc>
              <w:tc>
                <w:tcPr>
                  <w:tcW w:w="1609" w:type="pct"/>
                  <w:vMerge w:val="continue"/>
                  <w:vAlign w:val="center"/>
                </w:tcPr>
                <w:p>
                  <w:pPr>
                    <w:jc w:val="center"/>
                    <w:rPr>
                      <w:rFonts w:hint="default" w:ascii="Times New Roman" w:hAnsi="Times New Roman" w:eastAsia="宋体" w:cs="Times New Roman"/>
                      <w:color w:val="FF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422" w:hRule="atLeast"/>
              </w:trPr>
              <w:tc>
                <w:tcPr>
                  <w:tcW w:w="579" w:type="pct"/>
                  <w:vMerge w:val="continue"/>
                  <w:vAlign w:val="center"/>
                </w:tcPr>
                <w:p>
                  <w:pPr>
                    <w:jc w:val="center"/>
                    <w:rPr>
                      <w:rFonts w:hint="default" w:ascii="Times New Roman" w:hAnsi="Times New Roman" w:eastAsia="宋体" w:cs="Times New Roman"/>
                      <w:color w:val="FF0000"/>
                      <w:sz w:val="18"/>
                      <w:szCs w:val="18"/>
                    </w:rPr>
                  </w:pPr>
                </w:p>
              </w:tc>
              <w:tc>
                <w:tcPr>
                  <w:tcW w:w="86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太仓中等专业学校</w:t>
                  </w:r>
                </w:p>
              </w:tc>
              <w:tc>
                <w:tcPr>
                  <w:tcW w:w="55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SE</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282</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5327人</w:t>
                  </w:r>
                </w:p>
              </w:tc>
              <w:tc>
                <w:tcPr>
                  <w:tcW w:w="1609" w:type="pct"/>
                  <w:vMerge w:val="continue"/>
                  <w:vAlign w:val="center"/>
                </w:tcPr>
                <w:p>
                  <w:pPr>
                    <w:jc w:val="center"/>
                    <w:rPr>
                      <w:rFonts w:hint="default" w:ascii="Times New Roman" w:hAnsi="Times New Roman" w:eastAsia="宋体" w:cs="Times New Roman"/>
                      <w:color w:val="FF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1" w:type="dxa"/>
                  <w:bottom w:w="0" w:type="dxa"/>
                  <w:right w:w="11" w:type="dxa"/>
                </w:tblCellMar>
              </w:tblPrEx>
              <w:trPr>
                <w:trHeight w:val="422" w:hRule="atLeast"/>
              </w:trPr>
              <w:tc>
                <w:tcPr>
                  <w:tcW w:w="579" w:type="pct"/>
                  <w:vMerge w:val="continue"/>
                  <w:vAlign w:val="center"/>
                </w:tcPr>
                <w:p>
                  <w:pPr>
                    <w:jc w:val="center"/>
                    <w:rPr>
                      <w:rFonts w:hint="default" w:ascii="Times New Roman" w:hAnsi="Times New Roman" w:eastAsia="宋体" w:cs="Times New Roman"/>
                      <w:color w:val="FF0000"/>
                      <w:sz w:val="18"/>
                      <w:szCs w:val="18"/>
                    </w:rPr>
                  </w:pPr>
                </w:p>
              </w:tc>
              <w:tc>
                <w:tcPr>
                  <w:tcW w:w="86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太仓市实验中学</w:t>
                  </w:r>
                </w:p>
              </w:tc>
              <w:tc>
                <w:tcPr>
                  <w:tcW w:w="55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SE</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277</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1260人</w:t>
                  </w:r>
                </w:p>
              </w:tc>
              <w:tc>
                <w:tcPr>
                  <w:tcW w:w="1609" w:type="pct"/>
                  <w:vMerge w:val="continue"/>
                  <w:vAlign w:val="center"/>
                </w:tcPr>
                <w:p>
                  <w:pPr>
                    <w:jc w:val="center"/>
                    <w:rPr>
                      <w:rFonts w:hint="default" w:ascii="Times New Roman" w:hAnsi="Times New Roman" w:eastAsia="宋体" w:cs="Times New Roman"/>
                      <w:color w:val="FF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1" w:type="dxa"/>
                  <w:bottom w:w="0" w:type="dxa"/>
                  <w:right w:w="11" w:type="dxa"/>
                </w:tblCellMar>
              </w:tblPrEx>
              <w:trPr>
                <w:trHeight w:val="422" w:hRule="atLeast"/>
              </w:trPr>
              <w:tc>
                <w:tcPr>
                  <w:tcW w:w="579" w:type="pct"/>
                  <w:vMerge w:val="continue"/>
                  <w:vAlign w:val="center"/>
                </w:tcPr>
                <w:p>
                  <w:pPr>
                    <w:jc w:val="center"/>
                    <w:rPr>
                      <w:rFonts w:hint="default" w:ascii="Times New Roman" w:hAnsi="Times New Roman" w:eastAsia="宋体" w:cs="Times New Roman"/>
                      <w:color w:val="FF0000"/>
                      <w:sz w:val="18"/>
                      <w:szCs w:val="18"/>
                    </w:rPr>
                  </w:pPr>
                </w:p>
              </w:tc>
              <w:tc>
                <w:tcPr>
                  <w:tcW w:w="86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华荣园</w:t>
                  </w:r>
                </w:p>
              </w:tc>
              <w:tc>
                <w:tcPr>
                  <w:tcW w:w="55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NE</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344</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240人</w:t>
                  </w:r>
                </w:p>
              </w:tc>
              <w:tc>
                <w:tcPr>
                  <w:tcW w:w="1609" w:type="pct"/>
                  <w:vMerge w:val="continue"/>
                  <w:vAlign w:val="center"/>
                </w:tcPr>
                <w:p>
                  <w:pPr>
                    <w:jc w:val="center"/>
                    <w:rPr>
                      <w:rFonts w:hint="default" w:ascii="Times New Roman" w:hAnsi="Times New Roman" w:eastAsia="宋体" w:cs="Times New Roman"/>
                      <w:color w:val="FF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1" w:type="dxa"/>
                  <w:bottom w:w="0" w:type="dxa"/>
                  <w:right w:w="11" w:type="dxa"/>
                </w:tblCellMar>
              </w:tblPrEx>
              <w:trPr>
                <w:trHeight w:val="422" w:hRule="atLeast"/>
              </w:trPr>
              <w:tc>
                <w:tcPr>
                  <w:tcW w:w="579" w:type="pct"/>
                  <w:vMerge w:val="continue"/>
                  <w:vAlign w:val="center"/>
                </w:tcPr>
                <w:p>
                  <w:pPr>
                    <w:jc w:val="center"/>
                    <w:rPr>
                      <w:rFonts w:hint="default" w:ascii="Times New Roman" w:hAnsi="Times New Roman" w:eastAsia="宋体" w:cs="Times New Roman"/>
                      <w:color w:val="FF0000"/>
                      <w:sz w:val="18"/>
                      <w:szCs w:val="18"/>
                    </w:rPr>
                  </w:pPr>
                </w:p>
              </w:tc>
              <w:tc>
                <w:tcPr>
                  <w:tcW w:w="86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亲水半岛</w:t>
                  </w:r>
                </w:p>
              </w:tc>
              <w:tc>
                <w:tcPr>
                  <w:tcW w:w="55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E</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183</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90人</w:t>
                  </w:r>
                </w:p>
              </w:tc>
              <w:tc>
                <w:tcPr>
                  <w:tcW w:w="1609" w:type="pct"/>
                  <w:vMerge w:val="continue"/>
                  <w:vAlign w:val="center"/>
                </w:tcPr>
                <w:p>
                  <w:pPr>
                    <w:jc w:val="center"/>
                    <w:rPr>
                      <w:rFonts w:hint="default" w:ascii="Times New Roman" w:hAnsi="Times New Roman" w:eastAsia="宋体" w:cs="Times New Roman"/>
                      <w:color w:val="FF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1" w:type="dxa"/>
                  <w:bottom w:w="0" w:type="dxa"/>
                  <w:right w:w="11" w:type="dxa"/>
                </w:tblCellMar>
              </w:tblPrEx>
              <w:trPr>
                <w:trHeight w:val="422" w:hRule="atLeast"/>
              </w:trPr>
              <w:tc>
                <w:tcPr>
                  <w:tcW w:w="579" w:type="pct"/>
                  <w:vMerge w:val="continue"/>
                  <w:vAlign w:val="center"/>
                </w:tcPr>
                <w:p>
                  <w:pPr>
                    <w:jc w:val="center"/>
                    <w:rPr>
                      <w:rFonts w:hint="default" w:ascii="Times New Roman" w:hAnsi="Times New Roman" w:eastAsia="宋体" w:cs="Times New Roman"/>
                      <w:color w:val="FF0000"/>
                      <w:sz w:val="18"/>
                      <w:szCs w:val="18"/>
                    </w:rPr>
                  </w:pPr>
                </w:p>
              </w:tc>
              <w:tc>
                <w:tcPr>
                  <w:tcW w:w="86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太湖世家</w:t>
                  </w:r>
                </w:p>
              </w:tc>
              <w:tc>
                <w:tcPr>
                  <w:tcW w:w="55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N</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266</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120人</w:t>
                  </w:r>
                </w:p>
              </w:tc>
              <w:tc>
                <w:tcPr>
                  <w:tcW w:w="1609" w:type="pct"/>
                  <w:vMerge w:val="continue"/>
                  <w:vAlign w:val="center"/>
                </w:tcPr>
                <w:p>
                  <w:pPr>
                    <w:jc w:val="center"/>
                    <w:rPr>
                      <w:rFonts w:hint="default" w:ascii="Times New Roman" w:hAnsi="Times New Roman" w:eastAsia="宋体" w:cs="Times New Roman"/>
                      <w:color w:val="FF0000"/>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PrEx>
              <w:trPr>
                <w:trHeight w:val="422" w:hRule="atLeast"/>
              </w:trPr>
              <w:tc>
                <w:tcPr>
                  <w:tcW w:w="579" w:type="pct"/>
                  <w:vMerge w:val="continue"/>
                  <w:vAlign w:val="center"/>
                </w:tcPr>
                <w:p>
                  <w:pPr>
                    <w:jc w:val="center"/>
                    <w:rPr>
                      <w:rFonts w:hint="default" w:ascii="Times New Roman" w:hAnsi="Times New Roman" w:eastAsia="宋体" w:cs="Times New Roman"/>
                      <w:color w:val="FF0000"/>
                      <w:sz w:val="18"/>
                      <w:szCs w:val="18"/>
                    </w:rPr>
                  </w:pPr>
                </w:p>
              </w:tc>
              <w:tc>
                <w:tcPr>
                  <w:tcW w:w="86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世家英伦</w:t>
                  </w:r>
                </w:p>
              </w:tc>
              <w:tc>
                <w:tcPr>
                  <w:tcW w:w="55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NE</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190</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77人</w:t>
                  </w:r>
                </w:p>
              </w:tc>
              <w:tc>
                <w:tcPr>
                  <w:tcW w:w="1609" w:type="pct"/>
                  <w:vMerge w:val="continue"/>
                  <w:vAlign w:val="center"/>
                </w:tcPr>
                <w:p>
                  <w:pPr>
                    <w:jc w:val="center"/>
                    <w:rPr>
                      <w:rFonts w:hint="default" w:ascii="Times New Roman" w:hAnsi="Times New Roman" w:eastAsia="宋体" w:cs="Times New Roman"/>
                      <w:color w:val="FF0000"/>
                      <w:sz w:val="18"/>
                      <w:szCs w:val="18"/>
                    </w:rPr>
                  </w:pPr>
                </w:p>
              </w:tc>
            </w:tr>
          </w:tbl>
          <w:p>
            <w:pPr>
              <w:spacing w:line="360" w:lineRule="auto"/>
              <w:ind w:right="195" w:rightChars="93" w:firstLine="422" w:firstLineChars="200"/>
              <w:jc w:val="left"/>
              <w:rPr>
                <w:rFonts w:hint="eastAsia" w:ascii="宋体" w:hAnsi="宋体" w:eastAsia="宋体" w:cs="宋体"/>
                <w:b/>
                <w:sz w:val="21"/>
                <w:szCs w:val="21"/>
              </w:rPr>
            </w:pPr>
            <w:r>
              <w:rPr>
                <w:rFonts w:hint="eastAsia" w:ascii="宋体" w:hAnsi="宋体" w:eastAsia="宋体" w:cs="宋体"/>
                <w:b/>
                <w:sz w:val="21"/>
                <w:szCs w:val="21"/>
              </w:rPr>
              <w:t>2.声环境</w:t>
            </w:r>
          </w:p>
          <w:p>
            <w:pPr>
              <w:spacing w:line="360" w:lineRule="auto"/>
              <w:ind w:right="-122" w:rightChars="-58" w:firstLine="420"/>
              <w:jc w:val="left"/>
              <w:rPr>
                <w:rFonts w:hint="eastAsia" w:ascii="宋体" w:hAnsi="宋体" w:eastAsia="宋体" w:cs="宋体"/>
                <w:b/>
                <w:sz w:val="21"/>
                <w:szCs w:val="21"/>
              </w:rPr>
            </w:pPr>
            <w:r>
              <w:rPr>
                <w:rFonts w:hint="eastAsia" w:ascii="宋体" w:hAnsi="宋体" w:eastAsia="宋体" w:cs="宋体"/>
                <w:sz w:val="21"/>
                <w:szCs w:val="21"/>
              </w:rPr>
              <w:t>建设项目位于太仓市</w:t>
            </w:r>
            <w:r>
              <w:rPr>
                <w:rFonts w:hint="eastAsia" w:ascii="宋体" w:hAnsi="宋体" w:eastAsia="宋体" w:cs="宋体"/>
                <w:color w:val="auto"/>
                <w:sz w:val="21"/>
                <w:szCs w:val="21"/>
                <w:lang w:val="en-US" w:eastAsia="zh-CN"/>
              </w:rPr>
              <w:t>高新区</w:t>
            </w:r>
            <w:r>
              <w:rPr>
                <w:rFonts w:hint="eastAsia" w:ascii="宋体" w:hAnsi="宋体" w:eastAsia="宋体" w:cs="宋体"/>
                <w:color w:val="auto"/>
                <w:sz w:val="21"/>
                <w:szCs w:val="21"/>
              </w:rPr>
              <w:t>郑和中路376号20幢商铺06室</w:t>
            </w:r>
            <w:r>
              <w:rPr>
                <w:rFonts w:hint="eastAsia" w:ascii="宋体" w:hAnsi="宋体" w:eastAsia="宋体" w:cs="宋体"/>
                <w:sz w:val="21"/>
                <w:szCs w:val="21"/>
              </w:rPr>
              <w:t>，建设项目周边50米范围内有</w:t>
            </w:r>
            <w:r>
              <w:rPr>
                <w:rFonts w:hint="eastAsia" w:ascii="宋体" w:hAnsi="宋体" w:eastAsia="宋体" w:cs="宋体"/>
                <w:sz w:val="21"/>
                <w:szCs w:val="21"/>
                <w:lang w:val="en-US" w:eastAsia="zh-CN"/>
              </w:rPr>
              <w:t>万鸿大唐时代</w:t>
            </w:r>
            <w:r>
              <w:rPr>
                <w:rFonts w:hint="eastAsia" w:ascii="宋体" w:hAnsi="宋体" w:eastAsia="宋体" w:cs="宋体"/>
                <w:sz w:val="21"/>
                <w:szCs w:val="21"/>
              </w:rPr>
              <w:t>一个</w:t>
            </w:r>
            <w:r>
              <w:rPr>
                <w:rFonts w:hint="eastAsia" w:ascii="宋体" w:hAnsi="宋体" w:eastAsia="宋体" w:cs="宋体"/>
                <w:sz w:val="21"/>
                <w:szCs w:val="21"/>
                <w:lang w:val="en-US" w:eastAsia="zh-CN"/>
              </w:rPr>
              <w:t>声</w:t>
            </w:r>
            <w:r>
              <w:rPr>
                <w:rFonts w:hint="eastAsia" w:ascii="宋体" w:hAnsi="宋体" w:eastAsia="宋体" w:cs="宋体"/>
                <w:sz w:val="21"/>
                <w:szCs w:val="21"/>
              </w:rPr>
              <w:t>环境保护目标</w:t>
            </w:r>
            <w:r>
              <w:rPr>
                <w:rFonts w:hint="eastAsia" w:ascii="宋体" w:hAnsi="宋体" w:eastAsia="宋体" w:cs="宋体"/>
                <w:spacing w:val="8"/>
                <w:kern w:val="0"/>
                <w:sz w:val="21"/>
                <w:szCs w:val="21"/>
              </w:rPr>
              <w:t>见表3-</w:t>
            </w:r>
            <w:r>
              <w:rPr>
                <w:rFonts w:hint="eastAsia" w:ascii="宋体" w:hAnsi="宋体" w:eastAsia="宋体" w:cs="宋体"/>
                <w:spacing w:val="8"/>
                <w:kern w:val="0"/>
                <w:sz w:val="21"/>
                <w:szCs w:val="21"/>
                <w:lang w:val="en-US" w:eastAsia="zh-CN"/>
              </w:rPr>
              <w:t>6</w:t>
            </w:r>
            <w:r>
              <w:rPr>
                <w:rFonts w:hint="eastAsia" w:ascii="宋体" w:hAnsi="宋体" w:eastAsia="宋体" w:cs="宋体"/>
                <w:sz w:val="21"/>
                <w:szCs w:val="21"/>
              </w:rPr>
              <w:t>。</w:t>
            </w:r>
          </w:p>
          <w:p>
            <w:pPr>
              <w:spacing w:line="240" w:lineRule="auto"/>
              <w:ind w:right="-122" w:rightChars="-58" w:firstLine="420"/>
              <w:jc w:val="center"/>
              <w:rPr>
                <w:rFonts w:hint="eastAsia" w:ascii="宋体" w:hAnsi="宋体" w:eastAsia="宋体" w:cs="宋体"/>
                <w:b/>
                <w:sz w:val="21"/>
                <w:szCs w:val="21"/>
              </w:rPr>
            </w:pPr>
            <w:r>
              <w:rPr>
                <w:rFonts w:hint="eastAsia" w:ascii="宋体" w:hAnsi="宋体" w:eastAsia="宋体" w:cs="宋体"/>
                <w:b/>
                <w:sz w:val="21"/>
                <w:szCs w:val="21"/>
              </w:rPr>
              <w:t>表3-</w:t>
            </w:r>
            <w:r>
              <w:rPr>
                <w:rFonts w:hint="eastAsia" w:ascii="宋体" w:hAnsi="宋体" w:eastAsia="宋体" w:cs="宋体"/>
                <w:b/>
                <w:sz w:val="21"/>
                <w:szCs w:val="21"/>
                <w:lang w:val="en-US" w:eastAsia="zh-CN"/>
              </w:rPr>
              <w:t>5</w:t>
            </w:r>
            <w:r>
              <w:rPr>
                <w:rFonts w:hint="eastAsia" w:ascii="宋体" w:hAnsi="宋体" w:eastAsia="宋体" w:cs="宋体"/>
                <w:b/>
                <w:sz w:val="21"/>
                <w:szCs w:val="21"/>
              </w:rPr>
              <w:t>大气环境保护目标表</w:t>
            </w:r>
          </w:p>
          <w:tbl>
            <w:tblPr>
              <w:tblStyle w:val="3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1" w:type="dxa"/>
                <w:bottom w:w="0" w:type="dxa"/>
                <w:right w:w="11" w:type="dxa"/>
              </w:tblCellMar>
            </w:tblPr>
            <w:tblGrid>
              <w:gridCol w:w="1047"/>
              <w:gridCol w:w="1557"/>
              <w:gridCol w:w="996"/>
              <w:gridCol w:w="1264"/>
              <w:gridCol w:w="1264"/>
              <w:gridCol w:w="2910"/>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1" w:type="dxa"/>
                  <w:bottom w:w="0" w:type="dxa"/>
                  <w:right w:w="11" w:type="dxa"/>
                </w:tblCellMar>
              </w:tblPrEx>
              <w:trPr>
                <w:trHeight w:val="397" w:hRule="atLeast"/>
              </w:trPr>
              <w:tc>
                <w:tcPr>
                  <w:tcW w:w="579"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保护项目</w:t>
                  </w:r>
                </w:p>
              </w:tc>
              <w:tc>
                <w:tcPr>
                  <w:tcW w:w="861"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保护目标</w:t>
                  </w:r>
                </w:p>
              </w:tc>
              <w:tc>
                <w:tcPr>
                  <w:tcW w:w="551"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方位</w:t>
                  </w:r>
                </w:p>
              </w:tc>
              <w:tc>
                <w:tcPr>
                  <w:tcW w:w="699"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距离（m）</w:t>
                  </w:r>
                </w:p>
              </w:tc>
              <w:tc>
                <w:tcPr>
                  <w:tcW w:w="699"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规模</w:t>
                  </w:r>
                </w:p>
              </w:tc>
              <w:tc>
                <w:tcPr>
                  <w:tcW w:w="1609"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保护级别</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1" w:type="dxa"/>
                  <w:bottom w:w="0" w:type="dxa"/>
                  <w:right w:w="11" w:type="dxa"/>
                </w:tblCellMar>
              </w:tblPrEx>
              <w:trPr>
                <w:trHeight w:val="422" w:hRule="atLeast"/>
              </w:trPr>
              <w:tc>
                <w:tcPr>
                  <w:tcW w:w="579" w:type="pct"/>
                  <w:vAlign w:val="center"/>
                </w:tcPr>
                <w:p>
                  <w:pPr>
                    <w:jc w:val="center"/>
                    <w:rPr>
                      <w:rFonts w:hint="default" w:ascii="Times New Roman" w:hAnsi="Times New Roman" w:eastAsia="宋体" w:cs="Times New Roman"/>
                      <w:bCs/>
                      <w:sz w:val="18"/>
                      <w:szCs w:val="18"/>
                      <w:lang w:eastAsia="zh-CN"/>
                    </w:rPr>
                  </w:pPr>
                  <w:r>
                    <w:rPr>
                      <w:rFonts w:hint="default" w:ascii="Times New Roman" w:hAnsi="Times New Roman" w:eastAsia="宋体" w:cs="Times New Roman"/>
                      <w:sz w:val="18"/>
                      <w:szCs w:val="18"/>
                      <w:lang w:val="en-US" w:eastAsia="zh-CN"/>
                    </w:rPr>
                    <w:t>声环境</w:t>
                  </w:r>
                </w:p>
              </w:tc>
              <w:tc>
                <w:tcPr>
                  <w:tcW w:w="86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万鸿大唐时代</w:t>
                  </w:r>
                </w:p>
              </w:tc>
              <w:tc>
                <w:tcPr>
                  <w:tcW w:w="55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N</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20</w:t>
                  </w:r>
                </w:p>
              </w:tc>
              <w:tc>
                <w:tcPr>
                  <w:tcW w:w="699"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500人</w:t>
                  </w:r>
                </w:p>
              </w:tc>
              <w:tc>
                <w:tcPr>
                  <w:tcW w:w="1609" w:type="pct"/>
                  <w:vAlign w:val="center"/>
                </w:tcPr>
                <w:p>
                  <w:pPr>
                    <w:jc w:val="center"/>
                    <w:rPr>
                      <w:rFonts w:hint="default" w:ascii="Times New Roman" w:hAnsi="Times New Roman" w:eastAsia="宋体" w:cs="Times New Roman"/>
                      <w:bCs/>
                      <w:sz w:val="18"/>
                      <w:szCs w:val="18"/>
                    </w:rPr>
                  </w:pPr>
                  <w:r>
                    <w:rPr>
                      <w:rFonts w:hint="default" w:ascii="Times New Roman" w:hAnsi="Times New Roman" w:eastAsia="宋体" w:cs="Times New Roman"/>
                      <w:sz w:val="18"/>
                      <w:szCs w:val="18"/>
                      <w:lang w:val="en-US" w:eastAsia="zh-CN"/>
                    </w:rPr>
                    <w:t>《声环境质量标准》GB3096-2008中2类标准</w:t>
                  </w:r>
                </w:p>
              </w:tc>
            </w:tr>
          </w:tbl>
          <w:p>
            <w:pPr>
              <w:spacing w:line="360" w:lineRule="auto"/>
              <w:ind w:right="-122" w:rightChars="-58"/>
              <w:jc w:val="both"/>
              <w:rPr>
                <w:rFonts w:hint="eastAsia" w:ascii="宋体" w:hAnsi="宋体" w:cs="宋体"/>
                <w:b/>
                <w:szCs w:val="21"/>
              </w:rPr>
            </w:pPr>
          </w:p>
          <w:p>
            <w:pPr>
              <w:spacing w:line="360" w:lineRule="auto"/>
              <w:ind w:right="195" w:rightChars="93" w:firstLine="420"/>
              <w:jc w:val="lef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3.地下水环境</w:t>
            </w:r>
          </w:p>
          <w:p>
            <w:pPr>
              <w:spacing w:line="360" w:lineRule="auto"/>
              <w:ind w:right="-122" w:rightChars="-58" w:firstLine="42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厂界外500米范围内无地下水集中式饮用水水源和热水、矿泉水、温泉等特殊地下水资源。</w:t>
            </w:r>
          </w:p>
          <w:p>
            <w:pPr>
              <w:spacing w:line="360" w:lineRule="auto"/>
              <w:ind w:right="195" w:rightChars="93" w:firstLine="420"/>
              <w:jc w:val="lef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4、生态环境</w:t>
            </w:r>
          </w:p>
          <w:p>
            <w:pPr>
              <w:spacing w:line="360" w:lineRule="auto"/>
              <w:ind w:right="195" w:rightChars="93" w:firstLine="420" w:firstLineChars="200"/>
              <w:jc w:val="left"/>
              <w:rPr>
                <w:color w:val="FF0000"/>
                <w:sz w:val="24"/>
              </w:rPr>
            </w:pPr>
            <w:r>
              <w:rPr>
                <w:rFonts w:hint="default" w:ascii="Times New Roman" w:hAnsi="Times New Roman" w:eastAsia="宋体" w:cs="Times New Roman"/>
                <w:sz w:val="21"/>
                <w:szCs w:val="21"/>
              </w:rPr>
              <w:t>用地范围内无生态环境保护目标。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355" w:type="pct"/>
            <w:tcMar>
              <w:left w:w="28" w:type="dxa"/>
              <w:right w:w="28" w:type="dxa"/>
            </w:tcMar>
            <w:vAlign w:val="center"/>
          </w:tcPr>
          <w:p>
            <w:pPr>
              <w:adjustRightInd w:val="0"/>
              <w:snapToGrid w:val="0"/>
              <w:spacing w:line="360" w:lineRule="auto"/>
              <w:jc w:val="center"/>
              <w:rPr>
                <w:rFonts w:ascii="宋体" w:hAnsi="宋体"/>
                <w:kern w:val="0"/>
                <w:szCs w:val="21"/>
              </w:rPr>
            </w:pPr>
            <w:r>
              <w:rPr>
                <w:rFonts w:ascii="宋体" w:hAnsi="宋体"/>
                <w:kern w:val="0"/>
                <w:szCs w:val="21"/>
              </w:rPr>
              <w:t>污染</w:t>
            </w:r>
          </w:p>
          <w:p>
            <w:pPr>
              <w:adjustRightInd w:val="0"/>
              <w:snapToGrid w:val="0"/>
              <w:spacing w:line="360" w:lineRule="auto"/>
              <w:jc w:val="center"/>
              <w:rPr>
                <w:rFonts w:ascii="宋体" w:hAnsi="宋体"/>
                <w:kern w:val="0"/>
                <w:szCs w:val="21"/>
              </w:rPr>
            </w:pPr>
            <w:r>
              <w:rPr>
                <w:rFonts w:ascii="宋体" w:hAnsi="宋体"/>
                <w:kern w:val="0"/>
                <w:szCs w:val="21"/>
              </w:rPr>
              <w:t>物排</w:t>
            </w:r>
          </w:p>
          <w:p>
            <w:pPr>
              <w:adjustRightInd w:val="0"/>
              <w:snapToGrid w:val="0"/>
              <w:spacing w:line="360" w:lineRule="auto"/>
              <w:jc w:val="center"/>
              <w:rPr>
                <w:rFonts w:ascii="宋体" w:hAnsi="宋体"/>
                <w:kern w:val="0"/>
                <w:szCs w:val="21"/>
              </w:rPr>
            </w:pPr>
            <w:r>
              <w:rPr>
                <w:rFonts w:ascii="宋体" w:hAnsi="宋体"/>
                <w:kern w:val="0"/>
                <w:szCs w:val="21"/>
              </w:rPr>
              <w:t>放控</w:t>
            </w:r>
          </w:p>
          <w:p>
            <w:pPr>
              <w:adjustRightInd w:val="0"/>
              <w:snapToGrid w:val="0"/>
              <w:spacing w:line="360" w:lineRule="auto"/>
              <w:jc w:val="center"/>
              <w:rPr>
                <w:rFonts w:ascii="宋体" w:hAnsi="宋体"/>
                <w:color w:val="FF0000"/>
                <w:kern w:val="0"/>
                <w:szCs w:val="21"/>
              </w:rPr>
            </w:pPr>
            <w:r>
              <w:rPr>
                <w:rFonts w:ascii="宋体" w:hAnsi="宋体"/>
                <w:kern w:val="0"/>
                <w:szCs w:val="21"/>
              </w:rPr>
              <w:t>制标准</w:t>
            </w:r>
          </w:p>
        </w:tc>
        <w:tc>
          <w:tcPr>
            <w:tcW w:w="4644" w:type="pct"/>
            <w:vAlign w:val="center"/>
          </w:tcPr>
          <w:p>
            <w:pPr>
              <w:spacing w:line="360" w:lineRule="auto"/>
              <w:ind w:firstLine="422" w:firstLineChars="200"/>
              <w:jc w:val="left"/>
              <w:rPr>
                <w:rFonts w:hint="default" w:ascii="Times New Roman" w:hAnsi="Times New Roman" w:eastAsia="宋体" w:cs="Times New Roman"/>
                <w:b/>
                <w:color w:val="auto"/>
                <w:sz w:val="21"/>
                <w:szCs w:val="21"/>
              </w:rPr>
            </w:pPr>
            <w:r>
              <w:rPr>
                <w:rFonts w:hint="default" w:ascii="Times New Roman" w:hAnsi="Times New Roman" w:eastAsia="宋体" w:cs="Times New Roman"/>
                <w:b/>
                <w:color w:val="auto"/>
                <w:sz w:val="21"/>
                <w:szCs w:val="21"/>
              </w:rPr>
              <w:t>1、大气污染物排放标准</w:t>
            </w:r>
          </w:p>
          <w:p>
            <w:pPr>
              <w:pStyle w:val="11"/>
              <w:spacing w:line="360" w:lineRule="auto"/>
              <w:ind w:left="0" w:leftChars="0" w:right="195" w:rightChars="93" w:firstLine="420" w:firstLineChars="200"/>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由宠物医院提供的资料可知，该类医院的废气主要是由宠物的粪便、尿液、医疗废物暂存场所的异味。根据项目实际情况，类比其他宠物医院实际生产情况，通过加强室内通风处理，定期采用消毒液消毒等措施可有效减少异味影响，对周围大气环境影响较小，要求营运后医院边界处不得有明显异味，不会降低环境质量。</w:t>
            </w:r>
          </w:p>
          <w:p>
            <w:pPr>
              <w:pStyle w:val="11"/>
              <w:tabs>
                <w:tab w:val="left" w:pos="406"/>
              </w:tabs>
              <w:snapToGrid w:val="0"/>
              <w:spacing w:line="276" w:lineRule="auto"/>
              <w:ind w:firstLine="422"/>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表3-</w:t>
            </w:r>
            <w:r>
              <w:rPr>
                <w:rFonts w:hint="default" w:ascii="Times New Roman" w:hAnsi="Times New Roman" w:eastAsia="宋体" w:cs="Times New Roman"/>
                <w:b/>
                <w:bCs/>
                <w:sz w:val="21"/>
                <w:szCs w:val="21"/>
                <w:lang w:val="en-US" w:eastAsia="zh-CN"/>
              </w:rPr>
              <w:t>6</w:t>
            </w:r>
            <w:r>
              <w:rPr>
                <w:rFonts w:hint="default" w:ascii="Times New Roman" w:hAnsi="Times New Roman" w:eastAsia="宋体" w:cs="Times New Roman"/>
                <w:b/>
                <w:bCs/>
                <w:sz w:val="21"/>
                <w:szCs w:val="21"/>
              </w:rPr>
              <w:t>废</w:t>
            </w:r>
            <w:r>
              <w:rPr>
                <w:rFonts w:hint="default" w:ascii="Times New Roman" w:hAnsi="Times New Roman" w:eastAsia="宋体" w:cs="Times New Roman"/>
                <w:b/>
                <w:bCs/>
                <w:sz w:val="21"/>
                <w:szCs w:val="21"/>
                <w:lang w:val="en-US" w:eastAsia="zh-CN"/>
              </w:rPr>
              <w:t>气</w:t>
            </w:r>
            <w:r>
              <w:rPr>
                <w:rFonts w:hint="default" w:ascii="Times New Roman" w:hAnsi="Times New Roman" w:eastAsia="宋体" w:cs="Times New Roman"/>
                <w:b/>
                <w:bCs/>
                <w:sz w:val="21"/>
                <w:szCs w:val="21"/>
              </w:rPr>
              <w:t>排放要求单位：mg/L</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9"/>
              <w:gridCol w:w="3009"/>
              <w:gridCol w:w="3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9" w:type="dxa"/>
                  <w:vAlign w:val="center"/>
                </w:tcPr>
                <w:p>
                  <w:pPr>
                    <w:jc w:val="center"/>
                    <w:rPr>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lang w:val="en-US" w:eastAsia="zh-CN"/>
                    </w:rPr>
                    <w:t>控制项目</w:t>
                  </w:r>
                </w:p>
              </w:tc>
              <w:tc>
                <w:tcPr>
                  <w:tcW w:w="3009" w:type="dxa"/>
                  <w:vAlign w:val="center"/>
                </w:tcPr>
                <w:p>
                  <w:pPr>
                    <w:jc w:val="center"/>
                    <w:rPr>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lang w:val="en-US" w:eastAsia="zh-CN"/>
                    </w:rPr>
                    <w:t>标准值</w:t>
                  </w:r>
                </w:p>
              </w:tc>
              <w:tc>
                <w:tcPr>
                  <w:tcW w:w="3009" w:type="dxa"/>
                  <w:vAlign w:val="center"/>
                </w:tcPr>
                <w:p>
                  <w:pPr>
                    <w:jc w:val="center"/>
                    <w:rPr>
                      <w:rFonts w:hint="default" w:ascii="Times New Roman" w:hAnsi="Times New Roman" w:eastAsia="宋体" w:cs="Times New Roman"/>
                      <w:b/>
                      <w:bCs/>
                      <w:sz w:val="18"/>
                      <w:szCs w:val="18"/>
                      <w:lang w:val="en-US" w:eastAsia="zh-CN"/>
                    </w:rPr>
                  </w:pPr>
                  <w:r>
                    <w:rPr>
                      <w:rFonts w:hint="default" w:ascii="Times New Roman" w:hAnsi="Times New Roman" w:eastAsia="宋体" w:cs="Times New Roman"/>
                      <w:b/>
                      <w:bCs/>
                      <w:sz w:val="18"/>
                      <w:szCs w:val="18"/>
                      <w:lang w:val="en-US" w:eastAsia="zh-CN"/>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9"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臭气浓度（无量纲）</w:t>
                  </w:r>
                </w:p>
              </w:tc>
              <w:tc>
                <w:tcPr>
                  <w:tcW w:w="3009" w:type="dxa"/>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10</w:t>
                  </w:r>
                </w:p>
              </w:tc>
              <w:tc>
                <w:tcPr>
                  <w:tcW w:w="3009" w:type="dxa"/>
                  <w:vAlign w:val="center"/>
                </w:tcPr>
                <w:p>
                  <w:pPr>
                    <w:keepNext w:val="0"/>
                    <w:keepLines w:val="0"/>
                    <w:widowControl/>
                    <w:suppressLineNumbers w:val="0"/>
                    <w:jc w:val="left"/>
                    <w:rPr>
                      <w:rFonts w:hint="default" w:ascii="Times New Roman" w:hAnsi="Times New Roman" w:eastAsia="宋体" w:cs="Times New Roman"/>
                      <w:sz w:val="18"/>
                      <w:szCs w:val="18"/>
                    </w:rPr>
                  </w:pPr>
                  <w:r>
                    <w:rPr>
                      <w:rFonts w:hint="default" w:ascii="Times New Roman" w:hAnsi="Times New Roman" w:eastAsia="宋体" w:cs="Times New Roman"/>
                      <w:color w:val="000000"/>
                      <w:kern w:val="0"/>
                      <w:sz w:val="18"/>
                      <w:szCs w:val="18"/>
                      <w:lang w:val="en-US" w:eastAsia="zh-CN" w:bidi="ar"/>
                    </w:rPr>
                    <w:t xml:space="preserve">《医疗机构水污染物排放标准》 </w:t>
                  </w:r>
                </w:p>
                <w:p>
                  <w:pPr>
                    <w:keepNext w:val="0"/>
                    <w:keepLines w:val="0"/>
                    <w:widowControl/>
                    <w:suppressLineNumbers w:val="0"/>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color w:val="000000"/>
                      <w:kern w:val="0"/>
                      <w:sz w:val="18"/>
                      <w:szCs w:val="18"/>
                      <w:lang w:val="en-US" w:eastAsia="zh-CN" w:bidi="ar"/>
                    </w:rPr>
                    <w:t>（GB18466-2005）表 3 标准限值</w:t>
                  </w:r>
                </w:p>
              </w:tc>
            </w:tr>
          </w:tbl>
          <w:p>
            <w:pPr>
              <w:pStyle w:val="11"/>
              <w:tabs>
                <w:tab w:val="left" w:pos="406"/>
              </w:tabs>
              <w:snapToGrid w:val="0"/>
              <w:spacing w:line="276" w:lineRule="auto"/>
              <w:ind w:left="0" w:leftChars="0" w:firstLine="0" w:firstLineChars="0"/>
              <w:jc w:val="both"/>
              <w:rPr>
                <w:rFonts w:ascii="宋体" w:hAnsi="宋体"/>
                <w:b/>
                <w:bCs/>
                <w:sz w:val="21"/>
                <w:szCs w:val="21"/>
              </w:rPr>
            </w:pPr>
          </w:p>
          <w:p>
            <w:pPr>
              <w:pStyle w:val="11"/>
              <w:spacing w:line="360" w:lineRule="auto"/>
              <w:ind w:left="0" w:leftChars="0" w:right="195" w:rightChars="93" w:firstLine="422" w:firstLineChars="200"/>
              <w:rPr>
                <w:rFonts w:hint="eastAsia" w:ascii="宋体" w:hAnsi="宋体" w:eastAsia="宋体" w:cs="宋体"/>
                <w:b/>
                <w:sz w:val="21"/>
                <w:szCs w:val="21"/>
              </w:rPr>
            </w:pPr>
            <w:r>
              <w:rPr>
                <w:rFonts w:hint="eastAsia" w:ascii="宋体" w:hAnsi="宋体" w:eastAsia="宋体" w:cs="宋体"/>
                <w:b/>
                <w:sz w:val="21"/>
                <w:szCs w:val="21"/>
              </w:rPr>
              <w:t>2、废水接管标准要求</w:t>
            </w:r>
          </w:p>
          <w:p>
            <w:pPr>
              <w:pStyle w:val="11"/>
              <w:tabs>
                <w:tab w:val="left" w:pos="406"/>
              </w:tabs>
              <w:snapToGrid w:val="0"/>
              <w:spacing w:line="276" w:lineRule="auto"/>
              <w:ind w:firstLine="422"/>
              <w:jc w:val="left"/>
              <w:rPr>
                <w:rFonts w:hint="eastAsia" w:ascii="宋体" w:hAnsi="宋体" w:eastAsia="宋体" w:cs="宋体"/>
                <w:sz w:val="21"/>
                <w:szCs w:val="21"/>
              </w:rPr>
            </w:pPr>
            <w:r>
              <w:rPr>
                <w:rFonts w:hint="eastAsia" w:ascii="宋体" w:hAnsi="宋体" w:eastAsia="宋体" w:cs="宋体"/>
                <w:kern w:val="2"/>
                <w:sz w:val="21"/>
                <w:szCs w:val="21"/>
                <w:lang w:val="en-US" w:eastAsia="zh-CN" w:bidi="ar-SA"/>
              </w:rPr>
              <w:t>本项目产生的医疗废水预处理后与洗浴废水、生活污水接管排入太仓市城东污水处理厂，处理达标后排入新浏河。建设单位生活污水排口及太仓市城东污水处理厂排口排放标准见表</w:t>
            </w:r>
            <w:r>
              <w:rPr>
                <w:rFonts w:hint="eastAsia" w:ascii="宋体" w:hAnsi="宋体" w:eastAsia="宋体" w:cs="宋体"/>
                <w:sz w:val="21"/>
                <w:szCs w:val="21"/>
              </w:rPr>
              <w:t>3-6。</w:t>
            </w:r>
          </w:p>
          <w:p>
            <w:pPr>
              <w:pStyle w:val="11"/>
              <w:tabs>
                <w:tab w:val="left" w:pos="406"/>
              </w:tabs>
              <w:snapToGrid w:val="0"/>
              <w:spacing w:line="276" w:lineRule="auto"/>
              <w:ind w:firstLine="422"/>
              <w:jc w:val="center"/>
              <w:rPr>
                <w:rFonts w:hint="eastAsia" w:ascii="宋体" w:hAnsi="宋体" w:eastAsia="宋体" w:cs="宋体"/>
                <w:b/>
                <w:bCs/>
                <w:sz w:val="21"/>
                <w:szCs w:val="21"/>
              </w:rPr>
            </w:pPr>
            <w:r>
              <w:rPr>
                <w:rFonts w:hint="eastAsia" w:ascii="宋体" w:hAnsi="宋体" w:eastAsia="宋体" w:cs="宋体"/>
                <w:b/>
                <w:bCs/>
                <w:sz w:val="21"/>
                <w:szCs w:val="21"/>
              </w:rPr>
              <w:t>表3-</w:t>
            </w:r>
            <w:r>
              <w:rPr>
                <w:rFonts w:hint="eastAsia" w:ascii="宋体" w:hAnsi="宋体" w:eastAsia="宋体" w:cs="宋体"/>
                <w:b/>
                <w:bCs/>
                <w:sz w:val="21"/>
                <w:szCs w:val="21"/>
                <w:lang w:val="en-US" w:eastAsia="zh-CN"/>
              </w:rPr>
              <w:t>6</w:t>
            </w:r>
            <w:r>
              <w:rPr>
                <w:rFonts w:hint="eastAsia" w:ascii="宋体" w:hAnsi="宋体" w:eastAsia="宋体" w:cs="宋体"/>
                <w:b/>
                <w:bCs/>
                <w:sz w:val="21"/>
                <w:szCs w:val="21"/>
              </w:rPr>
              <w:t>废水排放要求单位：mg/L</w:t>
            </w:r>
          </w:p>
          <w:tbl>
            <w:tblPr>
              <w:tblStyle w:val="36"/>
              <w:tblW w:w="4997" w:type="pct"/>
              <w:jc w:val="center"/>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autofit"/>
              <w:tblCellMar>
                <w:top w:w="0" w:type="dxa"/>
                <w:left w:w="0" w:type="dxa"/>
                <w:bottom w:w="0" w:type="dxa"/>
                <w:right w:w="0" w:type="dxa"/>
              </w:tblCellMar>
            </w:tblPr>
            <w:tblGrid>
              <w:gridCol w:w="1361"/>
              <w:gridCol w:w="947"/>
              <w:gridCol w:w="2982"/>
              <w:gridCol w:w="3743"/>
            </w:tblGrid>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43" w:hRule="atLeast"/>
                <w:jc w:val="center"/>
              </w:trPr>
              <w:tc>
                <w:tcPr>
                  <w:tcW w:w="753"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排放口标准</w:t>
                  </w:r>
                </w:p>
              </w:tc>
              <w:tc>
                <w:tcPr>
                  <w:tcW w:w="524"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项目</w:t>
                  </w:r>
                </w:p>
              </w:tc>
              <w:tc>
                <w:tcPr>
                  <w:tcW w:w="1650"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接管标准浓度限值（mg/L）</w:t>
                  </w:r>
                </w:p>
              </w:tc>
              <w:tc>
                <w:tcPr>
                  <w:tcW w:w="2071" w:type="pct"/>
                  <w:vAlign w:val="center"/>
                </w:tcPr>
                <w:p>
                  <w:pPr>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标准来源</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73" w:hRule="atLeast"/>
                <w:jc w:val="center"/>
              </w:trPr>
              <w:tc>
                <w:tcPr>
                  <w:tcW w:w="753" w:type="pct"/>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城东污水处理厂接管标准</w:t>
                  </w:r>
                </w:p>
              </w:tc>
              <w:tc>
                <w:tcPr>
                  <w:tcW w:w="524"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PH</w:t>
                  </w:r>
                </w:p>
              </w:tc>
              <w:tc>
                <w:tcPr>
                  <w:tcW w:w="1650"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6-9</w:t>
                  </w:r>
                </w:p>
              </w:tc>
              <w:tc>
                <w:tcPr>
                  <w:tcW w:w="2071" w:type="pct"/>
                  <w:vMerge w:val="restart"/>
                  <w:vAlign w:val="center"/>
                </w:tcPr>
                <w:p>
                  <w:pPr>
                    <w:jc w:val="center"/>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《医疗机构水污染物排放标准》（GB18466-2005）</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331" w:hRule="atLeast"/>
                <w:jc w:val="center"/>
              </w:trPr>
              <w:tc>
                <w:tcPr>
                  <w:tcW w:w="753" w:type="pct"/>
                  <w:vMerge w:val="continue"/>
                  <w:vAlign w:val="center"/>
                </w:tcPr>
                <w:p>
                  <w:pPr>
                    <w:jc w:val="center"/>
                    <w:rPr>
                      <w:rFonts w:hint="default" w:ascii="Times New Roman" w:hAnsi="Times New Roman" w:eastAsia="宋体" w:cs="Times New Roman"/>
                      <w:sz w:val="18"/>
                      <w:szCs w:val="18"/>
                    </w:rPr>
                  </w:pPr>
                </w:p>
              </w:tc>
              <w:tc>
                <w:tcPr>
                  <w:tcW w:w="524"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COD</w:t>
                  </w:r>
                </w:p>
              </w:tc>
              <w:tc>
                <w:tcPr>
                  <w:tcW w:w="1650"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250</w:t>
                  </w:r>
                </w:p>
              </w:tc>
              <w:tc>
                <w:tcPr>
                  <w:tcW w:w="2071" w:type="pct"/>
                  <w:vMerge w:val="continue"/>
                  <w:vAlign w:val="center"/>
                </w:tcPr>
                <w:p>
                  <w:pPr>
                    <w:jc w:val="center"/>
                    <w:rPr>
                      <w:rFonts w:hint="default" w:ascii="Times New Roman" w:hAnsi="Times New Roman" w:eastAsia="宋体" w:cs="Times New Roman"/>
                      <w:sz w:val="18"/>
                      <w:szCs w:val="18"/>
                      <w:lang w:eastAsia="en-US"/>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25" w:hRule="atLeast"/>
                <w:jc w:val="center"/>
              </w:trPr>
              <w:tc>
                <w:tcPr>
                  <w:tcW w:w="753" w:type="pct"/>
                  <w:vMerge w:val="continue"/>
                  <w:vAlign w:val="center"/>
                </w:tcPr>
                <w:p>
                  <w:pPr>
                    <w:jc w:val="center"/>
                    <w:rPr>
                      <w:rFonts w:hint="default" w:ascii="Times New Roman" w:hAnsi="Times New Roman" w:eastAsia="宋体" w:cs="Times New Roman"/>
                      <w:sz w:val="18"/>
                      <w:szCs w:val="18"/>
                    </w:rPr>
                  </w:pPr>
                </w:p>
              </w:tc>
              <w:tc>
                <w:tcPr>
                  <w:tcW w:w="524"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SS</w:t>
                  </w:r>
                </w:p>
              </w:tc>
              <w:tc>
                <w:tcPr>
                  <w:tcW w:w="1650"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60</w:t>
                  </w:r>
                </w:p>
              </w:tc>
              <w:tc>
                <w:tcPr>
                  <w:tcW w:w="2071" w:type="pct"/>
                  <w:vMerge w:val="continue"/>
                  <w:vAlign w:val="center"/>
                </w:tcPr>
                <w:p>
                  <w:pPr>
                    <w:jc w:val="center"/>
                    <w:rPr>
                      <w:rFonts w:hint="default" w:ascii="Times New Roman" w:hAnsi="Times New Roman" w:eastAsia="宋体" w:cs="Times New Roman"/>
                      <w:sz w:val="18"/>
                      <w:szCs w:val="18"/>
                      <w:lang w:eastAsia="en-US"/>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25" w:hRule="atLeast"/>
                <w:jc w:val="center"/>
              </w:trPr>
              <w:tc>
                <w:tcPr>
                  <w:tcW w:w="753" w:type="pct"/>
                  <w:vMerge w:val="continue"/>
                  <w:vAlign w:val="center"/>
                </w:tcPr>
                <w:p>
                  <w:pPr>
                    <w:jc w:val="center"/>
                    <w:rPr>
                      <w:rFonts w:hint="default" w:ascii="Times New Roman" w:hAnsi="Times New Roman" w:eastAsia="宋体" w:cs="Times New Roman"/>
                      <w:sz w:val="18"/>
                      <w:szCs w:val="18"/>
                    </w:rPr>
                  </w:pPr>
                </w:p>
              </w:tc>
              <w:tc>
                <w:tcPr>
                  <w:tcW w:w="524" w:type="pct"/>
                  <w:vAlign w:val="center"/>
                </w:tcPr>
                <w:p>
                  <w:pPr>
                    <w:jc w:val="center"/>
                    <w:rPr>
                      <w:rFonts w:hint="default" w:ascii="Times New Roman" w:hAnsi="Times New Roman" w:eastAsia="宋体" w:cs="Times New Roman"/>
                      <w:sz w:val="18"/>
                      <w:szCs w:val="18"/>
                      <w:lang w:val="en-US" w:eastAsia="en-US"/>
                    </w:rPr>
                  </w:pPr>
                  <w:r>
                    <w:rPr>
                      <w:rFonts w:hint="default" w:ascii="Times New Roman" w:hAnsi="Times New Roman" w:eastAsia="宋体" w:cs="Times New Roman"/>
                      <w:sz w:val="18"/>
                      <w:szCs w:val="18"/>
                      <w:lang w:eastAsia="en-US"/>
                    </w:rPr>
                    <w:t>粪大肠菌群</w:t>
                  </w:r>
                </w:p>
              </w:tc>
              <w:tc>
                <w:tcPr>
                  <w:tcW w:w="1650"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5000</w:t>
                  </w:r>
                </w:p>
              </w:tc>
              <w:tc>
                <w:tcPr>
                  <w:tcW w:w="2071" w:type="pct"/>
                  <w:vMerge w:val="continue"/>
                  <w:vAlign w:val="center"/>
                </w:tcPr>
                <w:p>
                  <w:pPr>
                    <w:jc w:val="center"/>
                    <w:rPr>
                      <w:rFonts w:hint="default" w:ascii="Times New Roman" w:hAnsi="Times New Roman" w:eastAsia="宋体" w:cs="Times New Roman"/>
                      <w:sz w:val="18"/>
                      <w:szCs w:val="18"/>
                      <w:lang w:eastAsia="en-US"/>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25" w:hRule="atLeast"/>
                <w:jc w:val="center"/>
              </w:trPr>
              <w:tc>
                <w:tcPr>
                  <w:tcW w:w="753" w:type="pct"/>
                  <w:vMerge w:val="continue"/>
                  <w:vAlign w:val="center"/>
                </w:tcPr>
                <w:p>
                  <w:pPr>
                    <w:jc w:val="center"/>
                    <w:rPr>
                      <w:rFonts w:hint="default" w:ascii="Times New Roman" w:hAnsi="Times New Roman" w:eastAsia="宋体" w:cs="Times New Roman"/>
                      <w:sz w:val="18"/>
                      <w:szCs w:val="18"/>
                    </w:rPr>
                  </w:pPr>
                </w:p>
              </w:tc>
              <w:tc>
                <w:tcPr>
                  <w:tcW w:w="524"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LAS</w:t>
                  </w:r>
                </w:p>
              </w:tc>
              <w:tc>
                <w:tcPr>
                  <w:tcW w:w="1650"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10</w:t>
                  </w:r>
                </w:p>
              </w:tc>
              <w:tc>
                <w:tcPr>
                  <w:tcW w:w="2071" w:type="pct"/>
                  <w:vMerge w:val="continue"/>
                  <w:vAlign w:val="center"/>
                </w:tcPr>
                <w:p>
                  <w:pPr>
                    <w:jc w:val="center"/>
                    <w:rPr>
                      <w:rFonts w:hint="default" w:ascii="Times New Roman" w:hAnsi="Times New Roman" w:eastAsia="宋体" w:cs="Times New Roman"/>
                      <w:sz w:val="18"/>
                      <w:szCs w:val="18"/>
                      <w:lang w:eastAsia="en-US"/>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25" w:hRule="atLeast"/>
                <w:jc w:val="center"/>
              </w:trPr>
              <w:tc>
                <w:tcPr>
                  <w:tcW w:w="753" w:type="pct"/>
                  <w:vMerge w:val="continue"/>
                  <w:vAlign w:val="center"/>
                </w:tcPr>
                <w:p>
                  <w:pPr>
                    <w:jc w:val="center"/>
                    <w:rPr>
                      <w:rFonts w:hint="default" w:ascii="Times New Roman" w:hAnsi="Times New Roman" w:eastAsia="宋体" w:cs="Times New Roman"/>
                      <w:sz w:val="18"/>
                      <w:szCs w:val="18"/>
                    </w:rPr>
                  </w:pPr>
                </w:p>
              </w:tc>
              <w:tc>
                <w:tcPr>
                  <w:tcW w:w="524"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总余氯</w:t>
                  </w:r>
                </w:p>
              </w:tc>
              <w:tc>
                <w:tcPr>
                  <w:tcW w:w="1650"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2~8（接触时间≥1h）</w:t>
                  </w:r>
                </w:p>
              </w:tc>
              <w:tc>
                <w:tcPr>
                  <w:tcW w:w="2071" w:type="pct"/>
                  <w:vMerge w:val="continue"/>
                  <w:vAlign w:val="center"/>
                </w:tcPr>
                <w:p>
                  <w:pPr>
                    <w:jc w:val="center"/>
                    <w:rPr>
                      <w:rFonts w:hint="default" w:ascii="Times New Roman" w:hAnsi="Times New Roman" w:eastAsia="宋体" w:cs="Times New Roman"/>
                      <w:sz w:val="18"/>
                      <w:szCs w:val="18"/>
                      <w:lang w:eastAsia="en-US"/>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142" w:hRule="atLeast"/>
                <w:jc w:val="center"/>
              </w:trPr>
              <w:tc>
                <w:tcPr>
                  <w:tcW w:w="753" w:type="pct"/>
                  <w:vMerge w:val="continue"/>
                  <w:vAlign w:val="center"/>
                </w:tcPr>
                <w:p>
                  <w:pPr>
                    <w:jc w:val="center"/>
                    <w:rPr>
                      <w:rFonts w:hint="default" w:ascii="Times New Roman" w:hAnsi="Times New Roman" w:eastAsia="宋体" w:cs="Times New Roman"/>
                      <w:sz w:val="18"/>
                      <w:szCs w:val="18"/>
                    </w:rPr>
                  </w:pPr>
                </w:p>
              </w:tc>
              <w:tc>
                <w:tcPr>
                  <w:tcW w:w="524"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氨氮</w:t>
                  </w:r>
                </w:p>
              </w:tc>
              <w:tc>
                <w:tcPr>
                  <w:tcW w:w="1650"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45.0</w:t>
                  </w:r>
                </w:p>
              </w:tc>
              <w:tc>
                <w:tcPr>
                  <w:tcW w:w="2071" w:type="pct"/>
                  <w:vMerge w:val="restart"/>
                  <w:vAlign w:val="center"/>
                </w:tcPr>
                <w:p>
                  <w:pPr>
                    <w:jc w:val="center"/>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《污水排入城镇下水道水质标准》</w:t>
                  </w:r>
                </w:p>
                <w:p>
                  <w:pPr>
                    <w:jc w:val="center"/>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（GB/T31962-2015）表1</w:t>
                  </w:r>
                  <w:r>
                    <w:rPr>
                      <w:rFonts w:hint="default" w:ascii="Times New Roman" w:hAnsi="Times New Roman" w:eastAsia="宋体" w:cs="Times New Roman"/>
                      <w:sz w:val="18"/>
                      <w:szCs w:val="18"/>
                      <w:lang w:val="en-US" w:eastAsia="zh-CN"/>
                    </w:rPr>
                    <w:t>A</w:t>
                  </w:r>
                  <w:r>
                    <w:rPr>
                      <w:rFonts w:hint="default" w:ascii="Times New Roman" w:hAnsi="Times New Roman" w:eastAsia="宋体" w:cs="Times New Roman"/>
                      <w:sz w:val="18"/>
                      <w:szCs w:val="18"/>
                      <w:lang w:eastAsia="en-US"/>
                    </w:rPr>
                    <w:t>级标准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345" w:hRule="atLeast"/>
                <w:jc w:val="center"/>
              </w:trPr>
              <w:tc>
                <w:tcPr>
                  <w:tcW w:w="753" w:type="pct"/>
                  <w:vMerge w:val="continue"/>
                  <w:vAlign w:val="center"/>
                </w:tcPr>
                <w:p>
                  <w:pPr>
                    <w:jc w:val="center"/>
                    <w:rPr>
                      <w:rFonts w:hint="default" w:ascii="Times New Roman" w:hAnsi="Times New Roman" w:eastAsia="宋体" w:cs="Times New Roman"/>
                      <w:sz w:val="18"/>
                      <w:szCs w:val="18"/>
                    </w:rPr>
                  </w:pPr>
                </w:p>
              </w:tc>
              <w:tc>
                <w:tcPr>
                  <w:tcW w:w="524"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总氮</w:t>
                  </w:r>
                </w:p>
              </w:tc>
              <w:tc>
                <w:tcPr>
                  <w:tcW w:w="1650"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70</w:t>
                  </w:r>
                </w:p>
              </w:tc>
              <w:tc>
                <w:tcPr>
                  <w:tcW w:w="2071" w:type="pct"/>
                  <w:vMerge w:val="continue"/>
                  <w:vAlign w:val="center"/>
                </w:tcPr>
                <w:p>
                  <w:pPr>
                    <w:jc w:val="center"/>
                    <w:rPr>
                      <w:rFonts w:hint="default" w:ascii="Times New Roman" w:hAnsi="Times New Roman" w:eastAsia="宋体" w:cs="Times New Roman"/>
                      <w:sz w:val="18"/>
                      <w:szCs w:val="18"/>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352" w:hRule="atLeast"/>
                <w:jc w:val="center"/>
              </w:trPr>
              <w:tc>
                <w:tcPr>
                  <w:tcW w:w="753" w:type="pct"/>
                  <w:vMerge w:val="continue"/>
                  <w:vAlign w:val="center"/>
                </w:tcPr>
                <w:p>
                  <w:pPr>
                    <w:jc w:val="center"/>
                    <w:rPr>
                      <w:rFonts w:hint="default" w:ascii="Times New Roman" w:hAnsi="Times New Roman" w:eastAsia="宋体" w:cs="Times New Roman"/>
                      <w:sz w:val="18"/>
                      <w:szCs w:val="18"/>
                    </w:rPr>
                  </w:pPr>
                </w:p>
              </w:tc>
              <w:tc>
                <w:tcPr>
                  <w:tcW w:w="524"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总磷</w:t>
                  </w:r>
                </w:p>
              </w:tc>
              <w:tc>
                <w:tcPr>
                  <w:tcW w:w="1650"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8.0</w:t>
                  </w:r>
                </w:p>
              </w:tc>
              <w:tc>
                <w:tcPr>
                  <w:tcW w:w="2071" w:type="pct"/>
                  <w:vMerge w:val="continue"/>
                  <w:vAlign w:val="center"/>
                </w:tcPr>
                <w:p>
                  <w:pPr>
                    <w:jc w:val="center"/>
                    <w:rPr>
                      <w:rFonts w:hint="default" w:ascii="Times New Roman" w:hAnsi="Times New Roman" w:eastAsia="宋体" w:cs="Times New Roman"/>
                      <w:sz w:val="18"/>
                      <w:szCs w:val="18"/>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306" w:hRule="atLeast"/>
                <w:jc w:val="center"/>
              </w:trPr>
              <w:tc>
                <w:tcPr>
                  <w:tcW w:w="753" w:type="pct"/>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城东污水处理厂排放标准</w:t>
                  </w:r>
                </w:p>
              </w:tc>
              <w:tc>
                <w:tcPr>
                  <w:tcW w:w="524"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COD</w:t>
                  </w:r>
                </w:p>
              </w:tc>
              <w:tc>
                <w:tcPr>
                  <w:tcW w:w="1650"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30</w:t>
                  </w:r>
                </w:p>
              </w:tc>
              <w:tc>
                <w:tcPr>
                  <w:tcW w:w="2071" w:type="pct"/>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《关于高质量推进城乡生活污水治理三年行动计划的实施意见》的通知（苏委办发</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2018</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77号）中苏州特别排放限值标准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310" w:hRule="atLeast"/>
                <w:jc w:val="center"/>
              </w:trPr>
              <w:tc>
                <w:tcPr>
                  <w:tcW w:w="753" w:type="pct"/>
                  <w:vMerge w:val="continue"/>
                  <w:vAlign w:val="center"/>
                </w:tcPr>
                <w:p>
                  <w:pPr>
                    <w:jc w:val="center"/>
                    <w:rPr>
                      <w:rFonts w:hint="default" w:ascii="Times New Roman" w:hAnsi="Times New Roman" w:eastAsia="宋体" w:cs="Times New Roman"/>
                      <w:sz w:val="18"/>
                      <w:szCs w:val="18"/>
                    </w:rPr>
                  </w:pPr>
                </w:p>
              </w:tc>
              <w:tc>
                <w:tcPr>
                  <w:tcW w:w="524"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氨氮</w:t>
                  </w:r>
                </w:p>
              </w:tc>
              <w:tc>
                <w:tcPr>
                  <w:tcW w:w="1650"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1.5（3）*</w:t>
                  </w:r>
                </w:p>
              </w:tc>
              <w:tc>
                <w:tcPr>
                  <w:tcW w:w="2071" w:type="pct"/>
                  <w:vMerge w:val="continue"/>
                  <w:vAlign w:val="center"/>
                </w:tcPr>
                <w:p>
                  <w:pPr>
                    <w:jc w:val="center"/>
                    <w:rPr>
                      <w:rFonts w:hint="default" w:ascii="Times New Roman" w:hAnsi="Times New Roman" w:eastAsia="宋体" w:cs="Times New Roman"/>
                      <w:sz w:val="18"/>
                      <w:szCs w:val="18"/>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310" w:hRule="atLeast"/>
                <w:jc w:val="center"/>
              </w:trPr>
              <w:tc>
                <w:tcPr>
                  <w:tcW w:w="753" w:type="pct"/>
                  <w:vMerge w:val="continue"/>
                  <w:vAlign w:val="center"/>
                </w:tcPr>
                <w:p>
                  <w:pPr>
                    <w:jc w:val="center"/>
                    <w:rPr>
                      <w:rFonts w:hint="default" w:ascii="Times New Roman" w:hAnsi="Times New Roman" w:eastAsia="宋体" w:cs="Times New Roman"/>
                      <w:sz w:val="18"/>
                      <w:szCs w:val="18"/>
                    </w:rPr>
                  </w:pPr>
                </w:p>
              </w:tc>
              <w:tc>
                <w:tcPr>
                  <w:tcW w:w="524"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总氮</w:t>
                  </w:r>
                </w:p>
              </w:tc>
              <w:tc>
                <w:tcPr>
                  <w:tcW w:w="1650"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10</w:t>
                  </w:r>
                </w:p>
              </w:tc>
              <w:tc>
                <w:tcPr>
                  <w:tcW w:w="2071" w:type="pct"/>
                  <w:vMerge w:val="continue"/>
                  <w:vAlign w:val="center"/>
                </w:tcPr>
                <w:p>
                  <w:pPr>
                    <w:jc w:val="center"/>
                    <w:rPr>
                      <w:rFonts w:hint="default" w:ascii="Times New Roman" w:hAnsi="Times New Roman" w:eastAsia="宋体" w:cs="Times New Roman"/>
                      <w:sz w:val="18"/>
                      <w:szCs w:val="18"/>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373" w:hRule="atLeast"/>
                <w:jc w:val="center"/>
              </w:trPr>
              <w:tc>
                <w:tcPr>
                  <w:tcW w:w="753" w:type="pct"/>
                  <w:vMerge w:val="continue"/>
                  <w:vAlign w:val="center"/>
                </w:tcPr>
                <w:p>
                  <w:pPr>
                    <w:jc w:val="center"/>
                    <w:rPr>
                      <w:rFonts w:hint="default" w:ascii="Times New Roman" w:hAnsi="Times New Roman" w:eastAsia="宋体" w:cs="Times New Roman"/>
                      <w:sz w:val="18"/>
                      <w:szCs w:val="18"/>
                    </w:rPr>
                  </w:pPr>
                </w:p>
              </w:tc>
              <w:tc>
                <w:tcPr>
                  <w:tcW w:w="524"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总磷</w:t>
                  </w:r>
                </w:p>
              </w:tc>
              <w:tc>
                <w:tcPr>
                  <w:tcW w:w="1650"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0.3</w:t>
                  </w:r>
                </w:p>
              </w:tc>
              <w:tc>
                <w:tcPr>
                  <w:tcW w:w="2071" w:type="pct"/>
                  <w:vMerge w:val="continue"/>
                  <w:vAlign w:val="center"/>
                </w:tcPr>
                <w:p>
                  <w:pPr>
                    <w:jc w:val="center"/>
                    <w:rPr>
                      <w:rFonts w:hint="default" w:ascii="Times New Roman" w:hAnsi="Times New Roman" w:eastAsia="宋体" w:cs="Times New Roman"/>
                      <w:sz w:val="18"/>
                      <w:szCs w:val="18"/>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310" w:hRule="atLeast"/>
                <w:jc w:val="center"/>
              </w:trPr>
              <w:tc>
                <w:tcPr>
                  <w:tcW w:w="753" w:type="pct"/>
                  <w:vMerge w:val="continue"/>
                  <w:vAlign w:val="center"/>
                </w:tcPr>
                <w:p>
                  <w:pPr>
                    <w:jc w:val="center"/>
                    <w:rPr>
                      <w:rFonts w:hint="default" w:ascii="Times New Roman" w:hAnsi="Times New Roman" w:eastAsia="宋体" w:cs="Times New Roman"/>
                      <w:sz w:val="18"/>
                      <w:szCs w:val="18"/>
                    </w:rPr>
                  </w:pPr>
                </w:p>
              </w:tc>
              <w:tc>
                <w:tcPr>
                  <w:tcW w:w="524"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SS</w:t>
                  </w:r>
                </w:p>
              </w:tc>
              <w:tc>
                <w:tcPr>
                  <w:tcW w:w="1650"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10</w:t>
                  </w:r>
                </w:p>
              </w:tc>
              <w:tc>
                <w:tcPr>
                  <w:tcW w:w="2071" w:type="pct"/>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《城镇污水处理厂污染物排放标准》（DB32/4440-2022）</w:t>
                  </w:r>
                  <w:r>
                    <w:rPr>
                      <w:rFonts w:hint="default" w:ascii="Times New Roman" w:hAnsi="Times New Roman" w:eastAsia="宋体" w:cs="Times New Roman"/>
                      <w:sz w:val="18"/>
                      <w:szCs w:val="18"/>
                      <w:lang w:eastAsia="zh-Hans"/>
                    </w:rPr>
                    <w:t>表1C级标准</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68" w:hRule="atLeast"/>
                <w:jc w:val="center"/>
              </w:trPr>
              <w:tc>
                <w:tcPr>
                  <w:tcW w:w="753" w:type="pct"/>
                  <w:vMerge w:val="continue"/>
                  <w:vAlign w:val="center"/>
                </w:tcPr>
                <w:p>
                  <w:pPr>
                    <w:rPr>
                      <w:rFonts w:hint="default" w:ascii="Times New Roman" w:hAnsi="Times New Roman" w:eastAsia="宋体" w:cs="Times New Roman"/>
                      <w:sz w:val="18"/>
                      <w:szCs w:val="18"/>
                    </w:rPr>
                  </w:pPr>
                </w:p>
              </w:tc>
              <w:tc>
                <w:tcPr>
                  <w:tcW w:w="524"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pH</w:t>
                  </w:r>
                </w:p>
              </w:tc>
              <w:tc>
                <w:tcPr>
                  <w:tcW w:w="1650"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6~9（无量纲）</w:t>
                  </w:r>
                </w:p>
              </w:tc>
              <w:tc>
                <w:tcPr>
                  <w:tcW w:w="2071" w:type="pct"/>
                  <w:vMerge w:val="continue"/>
                  <w:vAlign w:val="center"/>
                </w:tcPr>
                <w:p>
                  <w:pPr>
                    <w:rPr>
                      <w:rFonts w:hint="default" w:ascii="Times New Roman" w:hAnsi="Times New Roman" w:eastAsia="宋体" w:cs="Times New Roman"/>
                      <w:sz w:val="18"/>
                      <w:szCs w:val="18"/>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68" w:hRule="atLeast"/>
                <w:jc w:val="center"/>
              </w:trPr>
              <w:tc>
                <w:tcPr>
                  <w:tcW w:w="753" w:type="pct"/>
                  <w:vMerge w:val="continue"/>
                  <w:vAlign w:val="center"/>
                </w:tcPr>
                <w:p>
                  <w:pPr>
                    <w:rPr>
                      <w:rFonts w:hint="default" w:ascii="Times New Roman" w:hAnsi="Times New Roman" w:eastAsia="宋体" w:cs="Times New Roman"/>
                      <w:sz w:val="18"/>
                      <w:szCs w:val="18"/>
                    </w:rPr>
                  </w:pPr>
                </w:p>
              </w:tc>
              <w:tc>
                <w:tcPr>
                  <w:tcW w:w="524" w:type="pct"/>
                  <w:vAlign w:val="center"/>
                </w:tcPr>
                <w:p>
                  <w:pPr>
                    <w:jc w:val="center"/>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z w:val="18"/>
                      <w:szCs w:val="18"/>
                      <w:lang w:eastAsia="en-US"/>
                    </w:rPr>
                    <w:t>粪大肠菌群</w:t>
                  </w:r>
                </w:p>
              </w:tc>
              <w:tc>
                <w:tcPr>
                  <w:tcW w:w="1650"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1000</w:t>
                  </w:r>
                </w:p>
              </w:tc>
              <w:tc>
                <w:tcPr>
                  <w:tcW w:w="2071" w:type="pct"/>
                  <w:vMerge w:val="continue"/>
                  <w:vAlign w:val="center"/>
                </w:tcPr>
                <w:p>
                  <w:pPr>
                    <w:rPr>
                      <w:rFonts w:hint="default" w:ascii="Times New Roman" w:hAnsi="Times New Roman" w:eastAsia="宋体" w:cs="Times New Roman"/>
                      <w:sz w:val="18"/>
                      <w:szCs w:val="18"/>
                    </w:rPr>
                  </w:pP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0" w:type="dxa"/>
                  <w:bottom w:w="0" w:type="dxa"/>
                  <w:right w:w="0" w:type="dxa"/>
                </w:tblCellMar>
              </w:tblPrEx>
              <w:trPr>
                <w:trHeight w:val="268" w:hRule="atLeast"/>
                <w:jc w:val="center"/>
              </w:trPr>
              <w:tc>
                <w:tcPr>
                  <w:tcW w:w="753" w:type="pct"/>
                  <w:vMerge w:val="continue"/>
                  <w:vAlign w:val="center"/>
                </w:tcPr>
                <w:p>
                  <w:pPr>
                    <w:rPr>
                      <w:rFonts w:hint="default" w:ascii="Times New Roman" w:hAnsi="Times New Roman" w:eastAsia="宋体" w:cs="Times New Roman"/>
                      <w:sz w:val="18"/>
                      <w:szCs w:val="18"/>
                    </w:rPr>
                  </w:pPr>
                </w:p>
              </w:tc>
              <w:tc>
                <w:tcPr>
                  <w:tcW w:w="524" w:type="pct"/>
                  <w:vAlign w:val="center"/>
                </w:tcPr>
                <w:p>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LAS</w:t>
                  </w:r>
                </w:p>
              </w:tc>
              <w:tc>
                <w:tcPr>
                  <w:tcW w:w="1650"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0.5</w:t>
                  </w:r>
                </w:p>
              </w:tc>
              <w:tc>
                <w:tcPr>
                  <w:tcW w:w="2071" w:type="pct"/>
                  <w:vMerge w:val="continue"/>
                  <w:vAlign w:val="center"/>
                </w:tcPr>
                <w:p>
                  <w:pPr>
                    <w:rPr>
                      <w:rFonts w:hint="default" w:ascii="Times New Roman" w:hAnsi="Times New Roman" w:eastAsia="宋体" w:cs="Times New Roman"/>
                      <w:sz w:val="18"/>
                      <w:szCs w:val="18"/>
                    </w:rPr>
                  </w:pPr>
                </w:p>
              </w:tc>
            </w:tr>
          </w:tbl>
          <w:p>
            <w:pPr>
              <w:pStyle w:val="11"/>
              <w:tabs>
                <w:tab w:val="left" w:pos="406"/>
              </w:tabs>
              <w:snapToGrid w:val="0"/>
              <w:spacing w:line="360" w:lineRule="auto"/>
              <w:ind w:firstLine="300"/>
              <w:rPr>
                <w:rFonts w:ascii="宋体" w:hAnsi="宋体"/>
                <w:sz w:val="15"/>
                <w:szCs w:val="15"/>
              </w:rPr>
            </w:pPr>
            <w:r>
              <w:rPr>
                <w:rFonts w:ascii="宋体" w:hAnsi="宋体"/>
                <w:sz w:val="15"/>
                <w:szCs w:val="15"/>
              </w:rPr>
              <w:t>注</w:t>
            </w:r>
            <w:r>
              <w:rPr>
                <w:rFonts w:hint="eastAsia" w:ascii="宋体" w:hAnsi="宋体"/>
                <w:sz w:val="15"/>
                <w:szCs w:val="15"/>
              </w:rPr>
              <w:t>：</w:t>
            </w:r>
            <w:r>
              <w:rPr>
                <w:rFonts w:ascii="宋体" w:hAnsi="宋体"/>
                <w:sz w:val="15"/>
                <w:szCs w:val="15"/>
              </w:rPr>
              <w:t>*括号外数值为水温&gt;12</w:t>
            </w:r>
            <w:r>
              <w:rPr>
                <w:rFonts w:hint="eastAsia" w:ascii="宋体" w:hAnsi="宋体"/>
                <w:sz w:val="15"/>
                <w:szCs w:val="15"/>
                <w:lang w:val="en-US" w:eastAsia="zh-CN"/>
              </w:rPr>
              <w:t>℃</w:t>
            </w:r>
            <w:r>
              <w:rPr>
                <w:rFonts w:ascii="宋体" w:hAnsi="宋体"/>
                <w:sz w:val="15"/>
                <w:szCs w:val="15"/>
              </w:rPr>
              <w:t>时的控制指标，括号内数值为水温≤12</w:t>
            </w:r>
            <w:r>
              <w:rPr>
                <w:rFonts w:hint="eastAsia" w:ascii="宋体" w:hAnsi="宋体"/>
                <w:sz w:val="15"/>
                <w:szCs w:val="15"/>
                <w:lang w:val="en-US" w:eastAsia="zh-CN"/>
              </w:rPr>
              <w:t>℃</w:t>
            </w:r>
            <w:r>
              <w:rPr>
                <w:rFonts w:ascii="宋体" w:hAnsi="宋体"/>
                <w:sz w:val="15"/>
                <w:szCs w:val="15"/>
              </w:rPr>
              <w:t>时的控制指标。</w:t>
            </w:r>
          </w:p>
          <w:p>
            <w:pPr>
              <w:pStyle w:val="11"/>
              <w:tabs>
                <w:tab w:val="left" w:pos="406"/>
              </w:tabs>
              <w:snapToGrid w:val="0"/>
              <w:ind w:firstLineChars="95"/>
              <w:rPr>
                <w:rFonts w:hint="default" w:ascii="Times New Roman" w:hAnsi="Times New Roman" w:cs="Times New Roman"/>
                <w:b/>
                <w:spacing w:val="8"/>
                <w:sz w:val="21"/>
                <w:szCs w:val="21"/>
                <w:shd w:val="clear" w:color="auto" w:fill="FFFFFF"/>
              </w:rPr>
            </w:pPr>
            <w:r>
              <w:rPr>
                <w:rFonts w:hint="default" w:ascii="Times New Roman" w:hAnsi="Times New Roman" w:cs="Times New Roman"/>
                <w:b/>
                <w:sz w:val="21"/>
                <w:szCs w:val="21"/>
              </w:rPr>
              <w:t>3、</w:t>
            </w:r>
            <w:r>
              <w:rPr>
                <w:rFonts w:hint="default" w:ascii="Times New Roman" w:hAnsi="Times New Roman" w:cs="Times New Roman"/>
                <w:b/>
                <w:spacing w:val="8"/>
                <w:sz w:val="21"/>
                <w:szCs w:val="21"/>
                <w:shd w:val="clear" w:color="auto" w:fill="FFFFFF"/>
              </w:rPr>
              <w:t>噪声排放标准</w:t>
            </w:r>
          </w:p>
          <w:p>
            <w:pPr>
              <w:pStyle w:val="11"/>
              <w:tabs>
                <w:tab w:val="left" w:pos="406"/>
              </w:tabs>
              <w:snapToGrid w:val="0"/>
              <w:ind w:firstLine="422"/>
              <w:jc w:val="center"/>
              <w:rPr>
                <w:rFonts w:hint="default" w:ascii="Times New Roman" w:hAnsi="Times New Roman" w:cs="Times New Roman"/>
                <w:b/>
                <w:bCs/>
                <w:sz w:val="21"/>
                <w:szCs w:val="21"/>
              </w:rPr>
            </w:pPr>
            <w:r>
              <w:rPr>
                <w:rFonts w:hint="default" w:ascii="Times New Roman" w:hAnsi="Times New Roman" w:cs="Times New Roman"/>
                <w:b/>
                <w:bCs/>
                <w:sz w:val="21"/>
                <w:szCs w:val="21"/>
              </w:rPr>
              <w:t>表3-</w:t>
            </w:r>
            <w:r>
              <w:rPr>
                <w:rFonts w:hint="default" w:ascii="Times New Roman" w:hAnsi="Times New Roman" w:cs="Times New Roman"/>
                <w:b/>
                <w:bCs/>
                <w:sz w:val="21"/>
                <w:szCs w:val="21"/>
                <w:lang w:val="en-US" w:eastAsia="zh-CN"/>
              </w:rPr>
              <w:t>7</w:t>
            </w:r>
            <w:r>
              <w:rPr>
                <w:rFonts w:hint="default" w:ascii="Times New Roman" w:hAnsi="Times New Roman" w:cs="Times New Roman"/>
                <w:b/>
                <w:bCs/>
                <w:sz w:val="21"/>
                <w:szCs w:val="21"/>
              </w:rPr>
              <w:t>噪声排放标准值单位：dB（A）</w:t>
            </w:r>
          </w:p>
          <w:tbl>
            <w:tblPr>
              <w:tblStyle w:val="36"/>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720"/>
              <w:gridCol w:w="1568"/>
              <w:gridCol w:w="1480"/>
              <w:gridCol w:w="426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42" w:hRule="atLeast"/>
                <w:jc w:val="center"/>
              </w:trPr>
              <w:tc>
                <w:tcPr>
                  <w:tcW w:w="952" w:type="pct"/>
                  <w:vAlign w:val="center"/>
                </w:tcPr>
                <w:p>
                  <w:pPr>
                    <w:pStyle w:val="84"/>
                    <w:spacing w:after="0"/>
                    <w:ind w:firstLine="0" w:firstLineChars="0"/>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类别</w:t>
                  </w:r>
                </w:p>
              </w:tc>
              <w:tc>
                <w:tcPr>
                  <w:tcW w:w="868" w:type="pct"/>
                  <w:vAlign w:val="center"/>
                </w:tcPr>
                <w:p>
                  <w:pPr>
                    <w:pStyle w:val="84"/>
                    <w:spacing w:after="0"/>
                    <w:ind w:firstLine="0" w:firstLineChars="0"/>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昼间</w:t>
                  </w:r>
                </w:p>
              </w:tc>
              <w:tc>
                <w:tcPr>
                  <w:tcW w:w="819" w:type="pct"/>
                  <w:vAlign w:val="center"/>
                </w:tcPr>
                <w:p>
                  <w:pPr>
                    <w:pStyle w:val="84"/>
                    <w:spacing w:after="0"/>
                    <w:ind w:firstLine="0" w:firstLineChars="0"/>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夜间</w:t>
                  </w:r>
                </w:p>
              </w:tc>
              <w:tc>
                <w:tcPr>
                  <w:tcW w:w="2360" w:type="pct"/>
                  <w:vAlign w:val="center"/>
                </w:tcPr>
                <w:p>
                  <w:pPr>
                    <w:pStyle w:val="84"/>
                    <w:spacing w:after="0"/>
                    <w:ind w:firstLine="0" w:firstLineChars="0"/>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标准来源</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42" w:hRule="atLeast"/>
                <w:jc w:val="center"/>
              </w:trPr>
              <w:tc>
                <w:tcPr>
                  <w:tcW w:w="952" w:type="pct"/>
                  <w:vAlign w:val="center"/>
                </w:tcPr>
                <w:p>
                  <w:pPr>
                    <w:pStyle w:val="84"/>
                    <w:spacing w:after="0"/>
                    <w:ind w:firstLine="0" w:firstLineChars="0"/>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2</w:t>
                  </w:r>
                </w:p>
              </w:tc>
              <w:tc>
                <w:tcPr>
                  <w:tcW w:w="868" w:type="pct"/>
                  <w:vAlign w:val="center"/>
                </w:tcPr>
                <w:p>
                  <w:pPr>
                    <w:pStyle w:val="84"/>
                    <w:spacing w:after="0"/>
                    <w:ind w:firstLine="0" w:firstLineChars="0"/>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60</w:t>
                  </w:r>
                </w:p>
              </w:tc>
              <w:tc>
                <w:tcPr>
                  <w:tcW w:w="819" w:type="pct"/>
                  <w:vAlign w:val="center"/>
                </w:tcPr>
                <w:p>
                  <w:pPr>
                    <w:ind w:right="195" w:rightChars="93"/>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50</w:t>
                  </w:r>
                </w:p>
              </w:tc>
              <w:tc>
                <w:tcPr>
                  <w:tcW w:w="2360" w:type="pct"/>
                  <w:vAlign w:val="center"/>
                </w:tcPr>
                <w:p>
                  <w:pPr>
                    <w:ind w:right="195" w:rightChars="93"/>
                    <w:jc w:val="center"/>
                    <w:rPr>
                      <w:rFonts w:hint="default" w:ascii="Times New Roman" w:hAnsi="Times New Roman" w:eastAsia="宋体" w:cs="Times New Roman"/>
                      <w:sz w:val="18"/>
                      <w:szCs w:val="18"/>
                    </w:rPr>
                  </w:pPr>
                  <w:r>
                    <w:rPr>
                      <w:rFonts w:hint="default" w:ascii="Times New Roman" w:hAnsi="Times New Roman" w:eastAsia="宋体" w:cs="Times New Roman"/>
                      <w:kern w:val="2"/>
                      <w:sz w:val="18"/>
                      <w:szCs w:val="18"/>
                      <w:lang w:val="en-US" w:eastAsia="zh-CN" w:bidi="ar-SA"/>
                    </w:rPr>
                    <w:t>《社会生活环境噪声排放标准》（GB22337-2008）表1中2类标准</w:t>
                  </w:r>
                </w:p>
              </w:tc>
            </w:tr>
          </w:tbl>
          <w:p>
            <w:pPr>
              <w:wordWrap w:val="0"/>
              <w:adjustRightInd w:val="0"/>
              <w:snapToGrid w:val="0"/>
              <w:spacing w:line="360" w:lineRule="auto"/>
              <w:ind w:firstLine="211" w:firstLineChars="100"/>
              <w:rPr>
                <w:rFonts w:hint="default" w:ascii="Times New Roman" w:hAnsi="Times New Roman" w:eastAsia="宋体" w:cs="Times New Roman"/>
                <w:b/>
                <w:spacing w:val="8"/>
                <w:sz w:val="21"/>
                <w:szCs w:val="21"/>
                <w:shd w:val="clear" w:color="auto" w:fill="FFFFFF"/>
              </w:rPr>
            </w:pPr>
            <w:r>
              <w:rPr>
                <w:rFonts w:hint="default" w:ascii="Times New Roman" w:hAnsi="Times New Roman" w:eastAsia="宋体" w:cs="Times New Roman"/>
                <w:b/>
                <w:sz w:val="21"/>
                <w:szCs w:val="21"/>
              </w:rPr>
              <w:t>4、</w:t>
            </w:r>
            <w:r>
              <w:rPr>
                <w:rFonts w:hint="default" w:ascii="Times New Roman" w:hAnsi="Times New Roman" w:eastAsia="宋体" w:cs="Times New Roman"/>
                <w:b/>
                <w:spacing w:val="8"/>
                <w:sz w:val="21"/>
                <w:szCs w:val="21"/>
                <w:shd w:val="clear" w:color="auto" w:fill="FFFFFF"/>
              </w:rPr>
              <w:t>固废控制标准</w:t>
            </w:r>
          </w:p>
          <w:p>
            <w:pPr>
              <w:pStyle w:val="11"/>
              <w:tabs>
                <w:tab w:val="left" w:pos="406"/>
              </w:tabs>
              <w:snapToGrid w:val="0"/>
              <w:spacing w:line="276" w:lineRule="auto"/>
              <w:ind w:firstLine="422"/>
              <w:jc w:val="left"/>
              <w:rPr>
                <w:color w:val="FF0000"/>
                <w:szCs w:val="21"/>
              </w:rPr>
            </w:pPr>
            <w:r>
              <w:rPr>
                <w:rFonts w:hint="default" w:ascii="Times New Roman" w:hAnsi="Times New Roman" w:eastAsia="宋体" w:cs="Times New Roman"/>
                <w:kern w:val="2"/>
                <w:sz w:val="21"/>
                <w:szCs w:val="21"/>
                <w:lang w:val="en-US" w:eastAsia="zh-CN" w:bidi="ar-SA"/>
              </w:rPr>
              <w:t>本项目医疗废物执行《医疗废物管理条例》、《医疗卫生机构医疗废物管理办法》中的有关规定；项目产生的医疗废物应分类收集、分类暂存，杜绝混合存放。医疗废物贮存应执行《医疗废物集中处置技术规范》（环发[2003]206 号）中医疗废物的暂时贮存等相关要求，以及《危险废物贮存污染控制标准》（GB18597-2023）的相关要求</w:t>
            </w:r>
            <w:r>
              <w:rPr>
                <w:rFonts w:hint="eastAsia" w:ascii="Times New Roman" w:hAnsi="Times New Roman" w:eastAsia="宋体" w:cs="Times New Roman"/>
                <w:kern w:val="2"/>
                <w:sz w:val="24"/>
                <w:szCs w:val="24"/>
                <w:lang w:val="en-US" w:eastAsia="zh-CN" w:bidi="ar-SA"/>
              </w:rPr>
              <w:t>。</w:t>
            </w:r>
          </w:p>
        </w:tc>
      </w:tr>
    </w:tbl>
    <w:p>
      <w:pPr>
        <w:adjustRightInd w:val="0"/>
        <w:snapToGrid w:val="0"/>
        <w:jc w:val="center"/>
        <w:rPr>
          <w:color w:val="FF0000"/>
          <w:kern w:val="0"/>
          <w:sz w:val="24"/>
        </w:rPr>
      </w:pPr>
      <w:r>
        <w:rPr>
          <w:color w:val="FF0000"/>
          <w:kern w:val="0"/>
          <w:sz w:val="24"/>
        </w:rPr>
        <w:br w:type="page"/>
      </w:r>
    </w:p>
    <w:tbl>
      <w:tblPr>
        <w:tblStyle w:val="3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40"/>
        <w:gridCol w:w="83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640" w:type="dxa"/>
            <w:vAlign w:val="center"/>
          </w:tcPr>
          <w:p>
            <w:pPr>
              <w:adjustRightInd w:val="0"/>
              <w:snapToGrid w:val="0"/>
              <w:jc w:val="center"/>
              <w:rPr>
                <w:kern w:val="0"/>
                <w:szCs w:val="21"/>
              </w:rPr>
            </w:pPr>
            <w:r>
              <w:rPr>
                <w:kern w:val="0"/>
                <w:szCs w:val="21"/>
              </w:rPr>
              <w:t>总量</w:t>
            </w:r>
          </w:p>
          <w:p>
            <w:pPr>
              <w:adjustRightInd w:val="0"/>
              <w:snapToGrid w:val="0"/>
              <w:jc w:val="center"/>
              <w:rPr>
                <w:kern w:val="0"/>
                <w:szCs w:val="21"/>
              </w:rPr>
            </w:pPr>
            <w:r>
              <w:rPr>
                <w:kern w:val="0"/>
                <w:szCs w:val="21"/>
              </w:rPr>
              <w:t>控制</w:t>
            </w:r>
          </w:p>
          <w:p>
            <w:pPr>
              <w:adjustRightInd w:val="0"/>
              <w:snapToGrid w:val="0"/>
              <w:jc w:val="center"/>
              <w:rPr>
                <w:color w:val="FF0000"/>
                <w:kern w:val="0"/>
                <w:szCs w:val="21"/>
              </w:rPr>
            </w:pPr>
            <w:r>
              <w:rPr>
                <w:kern w:val="0"/>
                <w:szCs w:val="21"/>
              </w:rPr>
              <w:t>指标</w:t>
            </w:r>
          </w:p>
        </w:tc>
        <w:tc>
          <w:tcPr>
            <w:tcW w:w="8350" w:type="dxa"/>
            <w:vAlign w:val="center"/>
          </w:tcPr>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建设项目完成后全厂污染物排放总量见表3-</w:t>
            </w:r>
            <w:r>
              <w:rPr>
                <w:rFonts w:hint="eastAsia" w:ascii="宋体" w:hAnsi="宋体" w:eastAsia="宋体" w:cs="宋体"/>
                <w:sz w:val="21"/>
                <w:szCs w:val="21"/>
                <w:lang w:val="en-US" w:eastAsia="zh-CN"/>
              </w:rPr>
              <w:t>8</w:t>
            </w:r>
            <w:r>
              <w:rPr>
                <w:rFonts w:hint="eastAsia" w:ascii="宋体" w:hAnsi="宋体" w:eastAsia="宋体" w:cs="宋体"/>
                <w:sz w:val="21"/>
                <w:szCs w:val="21"/>
              </w:rPr>
              <w:t>。</w:t>
            </w:r>
          </w:p>
          <w:p>
            <w:pPr>
              <w:ind w:firstLine="422" w:firstLineChars="200"/>
              <w:jc w:val="center"/>
              <w:rPr>
                <w:rFonts w:hint="eastAsia" w:ascii="宋体" w:hAnsi="宋体" w:eastAsia="宋体" w:cs="宋体"/>
                <w:b/>
                <w:bCs/>
                <w:sz w:val="21"/>
                <w:szCs w:val="21"/>
              </w:rPr>
            </w:pPr>
            <w:r>
              <w:rPr>
                <w:rFonts w:hint="eastAsia" w:ascii="宋体" w:hAnsi="宋体" w:eastAsia="宋体" w:cs="宋体"/>
                <w:b/>
                <w:bCs/>
                <w:sz w:val="21"/>
                <w:szCs w:val="21"/>
              </w:rPr>
              <w:t>表3-</w:t>
            </w:r>
            <w:r>
              <w:rPr>
                <w:rFonts w:hint="eastAsia" w:ascii="宋体" w:hAnsi="宋体" w:eastAsia="宋体" w:cs="宋体"/>
                <w:b/>
                <w:bCs/>
                <w:sz w:val="21"/>
                <w:szCs w:val="21"/>
                <w:lang w:val="en-US" w:eastAsia="zh-CN"/>
              </w:rPr>
              <w:t>8</w:t>
            </w:r>
            <w:r>
              <w:rPr>
                <w:rFonts w:hint="eastAsia" w:ascii="宋体" w:hAnsi="宋体" w:eastAsia="宋体" w:cs="宋体"/>
                <w:b/>
                <w:bCs/>
                <w:sz w:val="21"/>
                <w:szCs w:val="21"/>
              </w:rPr>
              <w:t>全厂污染物排放情况单位t/a</w:t>
            </w:r>
          </w:p>
          <w:tbl>
            <w:tblPr>
              <w:tblStyle w:val="36"/>
              <w:tblW w:w="4995"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1459"/>
              <w:gridCol w:w="1767"/>
              <w:gridCol w:w="1654"/>
              <w:gridCol w:w="1654"/>
              <w:gridCol w:w="158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95" w:hRule="atLeast"/>
                <w:jc w:val="center"/>
              </w:trPr>
              <w:tc>
                <w:tcPr>
                  <w:tcW w:w="898" w:type="pct"/>
                  <w:vAlign w:val="center"/>
                </w:tcPr>
                <w:p>
                  <w:pPr>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类别</w:t>
                  </w:r>
                </w:p>
              </w:tc>
              <w:tc>
                <w:tcPr>
                  <w:tcW w:w="1087" w:type="pct"/>
                  <w:vAlign w:val="center"/>
                </w:tcPr>
                <w:p>
                  <w:pPr>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污染物</w:t>
                  </w:r>
                </w:p>
                <w:p>
                  <w:pPr>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名称</w:t>
                  </w:r>
                </w:p>
              </w:tc>
              <w:tc>
                <w:tcPr>
                  <w:tcW w:w="1018" w:type="pct"/>
                  <w:vAlign w:val="center"/>
                </w:tcPr>
                <w:p>
                  <w:pPr>
                    <w:jc w:val="center"/>
                    <w:rPr>
                      <w:rFonts w:hint="default" w:ascii="Times New Roman" w:hAnsi="Times New Roman" w:eastAsia="宋体" w:cs="Times New Roman"/>
                      <w:b/>
                      <w:bCs/>
                      <w:color w:val="auto"/>
                      <w:sz w:val="18"/>
                      <w:szCs w:val="18"/>
                      <w:lang w:val="en-US" w:eastAsia="zh-CN"/>
                    </w:rPr>
                  </w:pPr>
                  <w:r>
                    <w:rPr>
                      <w:rFonts w:hint="default" w:ascii="Times New Roman" w:hAnsi="Times New Roman" w:eastAsia="宋体" w:cs="Times New Roman"/>
                      <w:b/>
                      <w:bCs/>
                      <w:color w:val="auto"/>
                      <w:sz w:val="18"/>
                      <w:szCs w:val="18"/>
                      <w:lang w:val="en-US" w:eastAsia="zh-CN"/>
                    </w:rPr>
                    <w:t>产生量</w:t>
                  </w:r>
                </w:p>
              </w:tc>
              <w:tc>
                <w:tcPr>
                  <w:tcW w:w="1018" w:type="pct"/>
                  <w:vAlign w:val="center"/>
                </w:tcPr>
                <w:p>
                  <w:pPr>
                    <w:jc w:val="center"/>
                    <w:rPr>
                      <w:rFonts w:hint="default" w:ascii="Times New Roman" w:hAnsi="Times New Roman" w:eastAsia="宋体" w:cs="Times New Roman"/>
                      <w:b/>
                      <w:bCs/>
                      <w:color w:val="auto"/>
                      <w:sz w:val="18"/>
                      <w:szCs w:val="18"/>
                      <w:lang w:val="en-US" w:eastAsia="zh-CN"/>
                    </w:rPr>
                  </w:pPr>
                  <w:r>
                    <w:rPr>
                      <w:rFonts w:hint="default" w:ascii="Times New Roman" w:hAnsi="Times New Roman" w:eastAsia="宋体" w:cs="Times New Roman"/>
                      <w:b/>
                      <w:bCs/>
                      <w:color w:val="auto"/>
                      <w:sz w:val="18"/>
                      <w:szCs w:val="18"/>
                      <w:lang w:val="en-US" w:eastAsia="zh-CN"/>
                    </w:rPr>
                    <w:t>削减量</w:t>
                  </w:r>
                </w:p>
              </w:tc>
              <w:tc>
                <w:tcPr>
                  <w:tcW w:w="976" w:type="pct"/>
                  <w:vAlign w:val="center"/>
                </w:tcPr>
                <w:p>
                  <w:pPr>
                    <w:jc w:val="center"/>
                    <w:rPr>
                      <w:rFonts w:hint="default" w:ascii="Times New Roman" w:hAnsi="Times New Roman" w:eastAsia="宋体" w:cs="Times New Roman"/>
                      <w:b/>
                      <w:bCs/>
                      <w:color w:val="auto"/>
                      <w:sz w:val="18"/>
                      <w:szCs w:val="18"/>
                      <w:lang w:val="en-US" w:eastAsia="zh-CN"/>
                    </w:rPr>
                  </w:pPr>
                  <w:r>
                    <w:rPr>
                      <w:rFonts w:hint="default" w:ascii="Times New Roman" w:hAnsi="Times New Roman" w:eastAsia="宋体" w:cs="Times New Roman"/>
                      <w:b/>
                      <w:bCs/>
                      <w:color w:val="auto"/>
                      <w:sz w:val="18"/>
                      <w:szCs w:val="18"/>
                      <w:lang w:val="en-US" w:eastAsia="zh-CN"/>
                    </w:rPr>
                    <w:t>排放量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2" w:hRule="atLeast"/>
                <w:jc w:val="center"/>
              </w:trPr>
              <w:tc>
                <w:tcPr>
                  <w:tcW w:w="898" w:type="pct"/>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生活污水</w:t>
                  </w: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废水量</w:t>
                  </w:r>
                </w:p>
              </w:tc>
              <w:tc>
                <w:tcPr>
                  <w:tcW w:w="101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594</w:t>
                  </w:r>
                </w:p>
              </w:tc>
              <w:tc>
                <w:tcPr>
                  <w:tcW w:w="1018" w:type="pct"/>
                  <w:vAlign w:val="center"/>
                </w:tcPr>
                <w:p>
                  <w:pPr>
                    <w:jc w:val="center"/>
                    <w:rPr>
                      <w:rFonts w:hint="default" w:ascii="Times New Roman" w:hAnsi="Times New Roman" w:eastAsia="宋体" w:cs="Times New Roman"/>
                      <w:color w:val="auto"/>
                      <w:sz w:val="18"/>
                      <w:szCs w:val="18"/>
                      <w:highlight w:val="yellow"/>
                      <w:lang w:val="en-US" w:eastAsia="zh-CN"/>
                    </w:rPr>
                  </w:pPr>
                  <w:r>
                    <w:rPr>
                      <w:rFonts w:hint="default" w:ascii="Times New Roman" w:hAnsi="Times New Roman" w:eastAsia="宋体" w:cs="Times New Roman"/>
                      <w:color w:val="auto"/>
                      <w:sz w:val="18"/>
                      <w:szCs w:val="18"/>
                      <w:highlight w:val="none"/>
                      <w:lang w:val="en-US" w:eastAsia="zh-CN"/>
                    </w:rPr>
                    <w:t>0</w:t>
                  </w:r>
                </w:p>
              </w:tc>
              <w:tc>
                <w:tcPr>
                  <w:tcW w:w="976" w:type="pct"/>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594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pH</w:t>
                  </w:r>
                </w:p>
              </w:tc>
              <w:tc>
                <w:tcPr>
                  <w:tcW w:w="1018"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sz w:val="18"/>
                      <w:szCs w:val="18"/>
                      <w:lang w:bidi="ar"/>
                    </w:rPr>
                    <w:t>—</w:t>
                  </w:r>
                </w:p>
              </w:tc>
              <w:tc>
                <w:tcPr>
                  <w:tcW w:w="1018" w:type="pct"/>
                  <w:vAlign w:val="center"/>
                </w:tcPr>
                <w:p>
                  <w:pPr>
                    <w:jc w:val="center"/>
                    <w:rPr>
                      <w:rFonts w:hint="default" w:ascii="Times New Roman" w:hAnsi="Times New Roman" w:eastAsia="宋体" w:cs="Times New Roman"/>
                      <w:color w:val="auto"/>
                      <w:sz w:val="18"/>
                      <w:szCs w:val="18"/>
                      <w:highlight w:val="yellow"/>
                    </w:rPr>
                  </w:pPr>
                  <w:r>
                    <w:rPr>
                      <w:rFonts w:hint="default" w:ascii="Times New Roman" w:hAnsi="Times New Roman" w:eastAsia="宋体" w:cs="Times New Roman"/>
                      <w:sz w:val="18"/>
                      <w:szCs w:val="18"/>
                      <w:lang w:bidi="ar"/>
                    </w:rPr>
                    <w:t>—</w:t>
                  </w:r>
                </w:p>
              </w:tc>
              <w:tc>
                <w:tcPr>
                  <w:tcW w:w="976"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sz w:val="18"/>
                      <w:szCs w:val="18"/>
                      <w:lang w:bidi="a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3"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COD</w:t>
                  </w:r>
                </w:p>
              </w:tc>
              <w:tc>
                <w:tcPr>
                  <w:tcW w:w="1655"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0.2376</w:t>
                  </w:r>
                </w:p>
              </w:tc>
              <w:tc>
                <w:tcPr>
                  <w:tcW w:w="1018" w:type="pct"/>
                  <w:vAlign w:val="center"/>
                </w:tcPr>
                <w:p>
                  <w:pPr>
                    <w:jc w:val="center"/>
                    <w:rPr>
                      <w:rFonts w:hint="default" w:ascii="Times New Roman" w:hAnsi="Times New Roman" w:eastAsia="宋体" w:cs="Times New Roman"/>
                      <w:color w:val="auto"/>
                      <w:sz w:val="18"/>
                      <w:szCs w:val="18"/>
                      <w:highlight w:val="yellow"/>
                    </w:rPr>
                  </w:pPr>
                  <w:r>
                    <w:rPr>
                      <w:rFonts w:hint="default" w:ascii="Times New Roman" w:hAnsi="Times New Roman" w:eastAsia="宋体" w:cs="Times New Roman"/>
                      <w:color w:val="auto"/>
                      <w:sz w:val="18"/>
                      <w:szCs w:val="18"/>
                      <w:lang w:val="en-US" w:eastAsia="zh-CN"/>
                    </w:rPr>
                    <w:t>0</w:t>
                  </w:r>
                </w:p>
              </w:tc>
              <w:tc>
                <w:tcPr>
                  <w:tcW w:w="1588"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0.20196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3"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SS</w:t>
                  </w:r>
                </w:p>
              </w:tc>
              <w:tc>
                <w:tcPr>
                  <w:tcW w:w="1655"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0.1188</w:t>
                  </w:r>
                </w:p>
              </w:tc>
              <w:tc>
                <w:tcPr>
                  <w:tcW w:w="1018" w:type="pct"/>
                  <w:vAlign w:val="center"/>
                </w:tcPr>
                <w:p>
                  <w:pPr>
                    <w:jc w:val="center"/>
                    <w:rPr>
                      <w:rFonts w:hint="default" w:ascii="Times New Roman" w:hAnsi="Times New Roman" w:eastAsia="宋体" w:cs="Times New Roman"/>
                      <w:color w:val="auto"/>
                      <w:sz w:val="18"/>
                      <w:szCs w:val="18"/>
                      <w:highlight w:val="yellow"/>
                    </w:rPr>
                  </w:pPr>
                  <w:r>
                    <w:rPr>
                      <w:rFonts w:hint="default" w:ascii="Times New Roman" w:hAnsi="Times New Roman" w:eastAsia="宋体" w:cs="Times New Roman"/>
                      <w:color w:val="auto"/>
                      <w:sz w:val="18"/>
                      <w:szCs w:val="18"/>
                      <w:lang w:val="en-US" w:eastAsia="zh-CN"/>
                    </w:rPr>
                    <w:t>0</w:t>
                  </w:r>
                </w:p>
              </w:tc>
              <w:tc>
                <w:tcPr>
                  <w:tcW w:w="1588"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0.08316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3"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氨氮</w:t>
                  </w:r>
                </w:p>
              </w:tc>
              <w:tc>
                <w:tcPr>
                  <w:tcW w:w="1655"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0.01485</w:t>
                  </w:r>
                </w:p>
              </w:tc>
              <w:tc>
                <w:tcPr>
                  <w:tcW w:w="1018" w:type="pct"/>
                  <w:vAlign w:val="center"/>
                </w:tcPr>
                <w:p>
                  <w:pPr>
                    <w:jc w:val="center"/>
                    <w:rPr>
                      <w:rFonts w:hint="default" w:ascii="Times New Roman" w:hAnsi="Times New Roman" w:eastAsia="宋体" w:cs="Times New Roman"/>
                      <w:color w:val="auto"/>
                      <w:sz w:val="18"/>
                      <w:szCs w:val="18"/>
                      <w:highlight w:val="yellow"/>
                    </w:rPr>
                  </w:pPr>
                  <w:r>
                    <w:rPr>
                      <w:rFonts w:hint="default" w:ascii="Times New Roman" w:hAnsi="Times New Roman" w:eastAsia="宋体" w:cs="Times New Roman"/>
                      <w:color w:val="auto"/>
                      <w:sz w:val="18"/>
                      <w:szCs w:val="18"/>
                      <w:lang w:val="en-US" w:eastAsia="zh-CN"/>
                    </w:rPr>
                    <w:t>0</w:t>
                  </w:r>
                </w:p>
              </w:tc>
              <w:tc>
                <w:tcPr>
                  <w:tcW w:w="1588"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0.01485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91"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总磷</w:t>
                  </w:r>
                </w:p>
              </w:tc>
              <w:tc>
                <w:tcPr>
                  <w:tcW w:w="1655"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0.002376</w:t>
                  </w:r>
                </w:p>
              </w:tc>
              <w:tc>
                <w:tcPr>
                  <w:tcW w:w="1018" w:type="pct"/>
                  <w:vAlign w:val="center"/>
                </w:tcPr>
                <w:p>
                  <w:pPr>
                    <w:jc w:val="center"/>
                    <w:rPr>
                      <w:rFonts w:hint="default" w:ascii="Times New Roman" w:hAnsi="Times New Roman" w:eastAsia="宋体" w:cs="Times New Roman"/>
                      <w:color w:val="auto"/>
                      <w:sz w:val="18"/>
                      <w:szCs w:val="18"/>
                      <w:highlight w:val="yellow"/>
                    </w:rPr>
                  </w:pPr>
                  <w:r>
                    <w:rPr>
                      <w:rFonts w:hint="default" w:ascii="Times New Roman" w:hAnsi="Times New Roman" w:eastAsia="宋体" w:cs="Times New Roman"/>
                      <w:color w:val="auto"/>
                      <w:sz w:val="18"/>
                      <w:szCs w:val="18"/>
                      <w:lang w:val="en-US" w:eastAsia="zh-CN"/>
                    </w:rPr>
                    <w:t>0</w:t>
                  </w:r>
                </w:p>
              </w:tc>
              <w:tc>
                <w:tcPr>
                  <w:tcW w:w="1588"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0.002376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3"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总氮</w:t>
                  </w:r>
                </w:p>
              </w:tc>
              <w:tc>
                <w:tcPr>
                  <w:tcW w:w="1655"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0.02376</w:t>
                  </w:r>
                </w:p>
              </w:tc>
              <w:tc>
                <w:tcPr>
                  <w:tcW w:w="1018" w:type="pct"/>
                  <w:vAlign w:val="center"/>
                </w:tcPr>
                <w:p>
                  <w:pPr>
                    <w:jc w:val="center"/>
                    <w:rPr>
                      <w:rFonts w:hint="default" w:ascii="Times New Roman" w:hAnsi="Times New Roman" w:eastAsia="宋体" w:cs="Times New Roman"/>
                      <w:color w:val="auto"/>
                      <w:sz w:val="18"/>
                      <w:szCs w:val="18"/>
                      <w:highlight w:val="yellow"/>
                    </w:rPr>
                  </w:pPr>
                  <w:r>
                    <w:rPr>
                      <w:rFonts w:hint="default" w:ascii="Times New Roman" w:hAnsi="Times New Roman" w:eastAsia="宋体" w:cs="Times New Roman"/>
                      <w:color w:val="auto"/>
                      <w:sz w:val="18"/>
                      <w:szCs w:val="18"/>
                      <w:lang w:val="en-US" w:eastAsia="zh-CN"/>
                    </w:rPr>
                    <w:t>0</w:t>
                  </w:r>
                </w:p>
              </w:tc>
              <w:tc>
                <w:tcPr>
                  <w:tcW w:w="1588"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0.02376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66" w:hRule="atLeast"/>
                <w:jc w:val="center"/>
              </w:trPr>
              <w:tc>
                <w:tcPr>
                  <w:tcW w:w="898" w:type="pct"/>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医疗废水</w:t>
                  </w: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废水量</w:t>
                  </w:r>
                </w:p>
              </w:tc>
              <w:tc>
                <w:tcPr>
                  <w:tcW w:w="101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63.4</w:t>
                  </w:r>
                </w:p>
              </w:tc>
              <w:tc>
                <w:tcPr>
                  <w:tcW w:w="1018" w:type="pct"/>
                  <w:vAlign w:val="center"/>
                </w:tcPr>
                <w:p>
                  <w:pPr>
                    <w:jc w:val="center"/>
                    <w:rPr>
                      <w:rFonts w:hint="default" w:ascii="Times New Roman" w:hAnsi="Times New Roman" w:eastAsia="宋体" w:cs="Times New Roman"/>
                      <w:color w:val="auto"/>
                      <w:sz w:val="18"/>
                      <w:szCs w:val="18"/>
                      <w:highlight w:val="yellow"/>
                    </w:rPr>
                  </w:pPr>
                  <w:r>
                    <w:rPr>
                      <w:rFonts w:hint="default" w:ascii="Times New Roman" w:hAnsi="Times New Roman" w:eastAsia="宋体" w:cs="Times New Roman"/>
                      <w:color w:val="auto"/>
                      <w:sz w:val="18"/>
                      <w:szCs w:val="18"/>
                      <w:lang w:val="en-US" w:eastAsia="zh-CN"/>
                    </w:rPr>
                    <w:t>0</w:t>
                  </w:r>
                </w:p>
              </w:tc>
              <w:tc>
                <w:tcPr>
                  <w:tcW w:w="976" w:type="pct"/>
                  <w:vAlign w:val="center"/>
                </w:tcPr>
                <w:p>
                  <w:pPr>
                    <w:jc w:val="center"/>
                    <w:rPr>
                      <w:rFonts w:hint="default" w:ascii="Times New Roman" w:hAnsi="Times New Roman" w:eastAsia="宋体" w:cs="Times New Roman"/>
                      <w:color w:val="auto"/>
                      <w:sz w:val="18"/>
                      <w:szCs w:val="18"/>
                      <w:highlight w:val="yellow"/>
                    </w:rPr>
                  </w:pPr>
                  <w:r>
                    <w:rPr>
                      <w:rFonts w:hint="default" w:ascii="Times New Roman" w:hAnsi="Times New Roman" w:eastAsia="宋体" w:cs="Times New Roman"/>
                      <w:color w:val="auto"/>
                      <w:sz w:val="18"/>
                      <w:szCs w:val="18"/>
                      <w:lang w:val="en-US" w:eastAsia="zh-CN"/>
                    </w:rPr>
                    <w:t>63.4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47"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pH</w:t>
                  </w:r>
                </w:p>
              </w:tc>
              <w:tc>
                <w:tcPr>
                  <w:tcW w:w="1018"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sz w:val="18"/>
                      <w:szCs w:val="18"/>
                      <w:lang w:bidi="ar"/>
                    </w:rPr>
                    <w:t>—</w:t>
                  </w:r>
                </w:p>
              </w:tc>
              <w:tc>
                <w:tcPr>
                  <w:tcW w:w="1018" w:type="pct"/>
                  <w:vAlign w:val="center"/>
                </w:tcPr>
                <w:p>
                  <w:pPr>
                    <w:jc w:val="center"/>
                    <w:rPr>
                      <w:rFonts w:hint="default" w:ascii="Times New Roman" w:hAnsi="Times New Roman" w:eastAsia="宋体" w:cs="Times New Roman"/>
                      <w:color w:val="auto"/>
                      <w:sz w:val="18"/>
                      <w:szCs w:val="18"/>
                      <w:highlight w:val="yellow"/>
                    </w:rPr>
                  </w:pPr>
                  <w:r>
                    <w:rPr>
                      <w:rFonts w:hint="default" w:ascii="Times New Roman" w:hAnsi="Times New Roman" w:eastAsia="宋体" w:cs="Times New Roman"/>
                      <w:sz w:val="18"/>
                      <w:szCs w:val="18"/>
                      <w:lang w:bidi="ar"/>
                    </w:rPr>
                    <w:t>—</w:t>
                  </w:r>
                </w:p>
              </w:tc>
              <w:tc>
                <w:tcPr>
                  <w:tcW w:w="976"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sz w:val="18"/>
                      <w:szCs w:val="18"/>
                      <w:lang w:bidi="a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16"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COD</w:t>
                  </w:r>
                </w:p>
              </w:tc>
              <w:tc>
                <w:tcPr>
                  <w:tcW w:w="1018"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0.01585</w:t>
                  </w:r>
                </w:p>
              </w:tc>
              <w:tc>
                <w:tcPr>
                  <w:tcW w:w="1018" w:type="pct"/>
                  <w:vAlign w:val="center"/>
                </w:tcPr>
                <w:p>
                  <w:pPr>
                    <w:jc w:val="center"/>
                    <w:rPr>
                      <w:rFonts w:hint="default" w:ascii="Times New Roman" w:hAnsi="Times New Roman" w:eastAsia="宋体" w:cs="Times New Roman"/>
                      <w:color w:val="auto"/>
                      <w:sz w:val="18"/>
                      <w:szCs w:val="18"/>
                      <w:highlight w:val="yellow"/>
                    </w:rPr>
                  </w:pPr>
                  <w:r>
                    <w:rPr>
                      <w:rFonts w:hint="default" w:ascii="Times New Roman" w:hAnsi="Times New Roman" w:eastAsia="宋体" w:cs="Times New Roman"/>
                      <w:color w:val="auto"/>
                      <w:sz w:val="18"/>
                      <w:szCs w:val="18"/>
                      <w:lang w:val="en-US" w:eastAsia="zh-CN"/>
                    </w:rPr>
                    <w:t>0</w:t>
                  </w:r>
                </w:p>
              </w:tc>
              <w:tc>
                <w:tcPr>
                  <w:tcW w:w="976"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0.01585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SS</w:t>
                  </w:r>
                </w:p>
              </w:tc>
              <w:tc>
                <w:tcPr>
                  <w:tcW w:w="1018"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0.003804</w:t>
                  </w:r>
                </w:p>
              </w:tc>
              <w:tc>
                <w:tcPr>
                  <w:tcW w:w="1018" w:type="pct"/>
                  <w:vAlign w:val="center"/>
                </w:tcPr>
                <w:p>
                  <w:pPr>
                    <w:jc w:val="center"/>
                    <w:rPr>
                      <w:rFonts w:hint="default" w:ascii="Times New Roman" w:hAnsi="Times New Roman" w:eastAsia="宋体" w:cs="Times New Roman"/>
                      <w:color w:val="auto"/>
                      <w:sz w:val="18"/>
                      <w:szCs w:val="18"/>
                      <w:highlight w:val="yellow"/>
                      <w:lang w:val="en-US" w:eastAsia="zh-CN"/>
                    </w:rPr>
                  </w:pPr>
                  <w:r>
                    <w:rPr>
                      <w:rFonts w:hint="default" w:ascii="Times New Roman" w:hAnsi="Times New Roman" w:eastAsia="宋体" w:cs="Times New Roman"/>
                      <w:color w:val="auto"/>
                      <w:sz w:val="18"/>
                      <w:szCs w:val="18"/>
                      <w:lang w:val="en-US" w:eastAsia="zh-CN"/>
                    </w:rPr>
                    <w:t>0</w:t>
                  </w:r>
                </w:p>
              </w:tc>
              <w:tc>
                <w:tcPr>
                  <w:tcW w:w="976"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0.003804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粪大肠菌群</w:t>
                  </w:r>
                </w:p>
              </w:tc>
              <w:tc>
                <w:tcPr>
                  <w:tcW w:w="1018"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3.17</w:t>
                  </w:r>
                  <w:r>
                    <w:rPr>
                      <w:rFonts w:hint="default" w:ascii="Times New Roman" w:hAnsi="Times New Roman" w:eastAsia="宋体" w:cs="Times New Roman"/>
                      <w:color w:val="auto"/>
                      <w:sz w:val="18"/>
                      <w:szCs w:val="18"/>
                      <w:lang w:val="en-US" w:eastAsia="en-US"/>
                    </w:rPr>
                    <w:t>×10</w:t>
                  </w:r>
                  <w:r>
                    <w:rPr>
                      <w:rFonts w:hint="default" w:ascii="Times New Roman" w:hAnsi="Times New Roman" w:eastAsia="宋体" w:cs="Times New Roman"/>
                      <w:color w:val="auto"/>
                      <w:sz w:val="18"/>
                      <w:szCs w:val="18"/>
                      <w:vertAlign w:val="superscript"/>
                      <w:lang w:val="en-US" w:eastAsia="zh-CN"/>
                    </w:rPr>
                    <w:t>10</w:t>
                  </w:r>
                  <w:r>
                    <w:rPr>
                      <w:rFonts w:hint="default" w:ascii="Times New Roman" w:hAnsi="Times New Roman" w:eastAsia="宋体" w:cs="Times New Roman"/>
                      <w:color w:val="auto"/>
                      <w:sz w:val="18"/>
                      <w:szCs w:val="18"/>
                      <w:lang w:val="en-US" w:eastAsia="en-US"/>
                    </w:rPr>
                    <w:t>MPN/a</w:t>
                  </w:r>
                </w:p>
              </w:tc>
              <w:tc>
                <w:tcPr>
                  <w:tcW w:w="1018" w:type="pct"/>
                  <w:vAlign w:val="center"/>
                </w:tcPr>
                <w:p>
                  <w:pPr>
                    <w:jc w:val="center"/>
                    <w:rPr>
                      <w:rFonts w:hint="default" w:ascii="Times New Roman" w:hAnsi="Times New Roman" w:eastAsia="宋体" w:cs="Times New Roman"/>
                      <w:color w:val="auto"/>
                      <w:sz w:val="18"/>
                      <w:szCs w:val="18"/>
                      <w:highlight w:val="yellow"/>
                      <w:lang w:val="en-US" w:eastAsia="zh-CN"/>
                    </w:rPr>
                  </w:pPr>
                  <w:r>
                    <w:rPr>
                      <w:rFonts w:hint="default" w:ascii="Times New Roman" w:hAnsi="Times New Roman" w:eastAsia="宋体" w:cs="Times New Roman"/>
                      <w:color w:val="auto"/>
                      <w:sz w:val="18"/>
                      <w:szCs w:val="18"/>
                      <w:lang w:val="en-US" w:eastAsia="zh-CN"/>
                    </w:rPr>
                    <w:t>3.14×10</w:t>
                  </w:r>
                  <w:r>
                    <w:rPr>
                      <w:rFonts w:hint="default" w:ascii="Times New Roman" w:hAnsi="Times New Roman" w:eastAsia="宋体" w:cs="Times New Roman"/>
                      <w:color w:val="auto"/>
                      <w:sz w:val="18"/>
                      <w:szCs w:val="18"/>
                      <w:vertAlign w:val="superscript"/>
                      <w:lang w:val="en-US" w:eastAsia="zh-CN"/>
                    </w:rPr>
                    <w:t>10</w:t>
                  </w:r>
                  <w:r>
                    <w:rPr>
                      <w:rFonts w:hint="default" w:ascii="Times New Roman" w:hAnsi="Times New Roman" w:eastAsia="宋体" w:cs="Times New Roman"/>
                      <w:color w:val="auto"/>
                      <w:sz w:val="18"/>
                      <w:szCs w:val="18"/>
                      <w:lang w:val="en-US" w:eastAsia="en-US"/>
                    </w:rPr>
                    <w:t>MPN/a</w:t>
                  </w:r>
                </w:p>
              </w:tc>
              <w:tc>
                <w:tcPr>
                  <w:tcW w:w="976" w:type="pct"/>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3.17</w:t>
                  </w:r>
                  <w:r>
                    <w:rPr>
                      <w:rFonts w:hint="default" w:ascii="Times New Roman" w:hAnsi="Times New Roman" w:eastAsia="宋体" w:cs="Times New Roman"/>
                      <w:color w:val="auto"/>
                      <w:sz w:val="18"/>
                      <w:szCs w:val="18"/>
                      <w:lang w:val="en-US" w:eastAsia="en-US"/>
                    </w:rPr>
                    <w:t>×10</w:t>
                  </w:r>
                  <w:r>
                    <w:rPr>
                      <w:rFonts w:hint="default" w:ascii="Times New Roman" w:hAnsi="Times New Roman" w:eastAsia="宋体" w:cs="Times New Roman"/>
                      <w:color w:val="auto"/>
                      <w:sz w:val="18"/>
                      <w:szCs w:val="18"/>
                      <w:vertAlign w:val="superscript"/>
                      <w:lang w:val="en-US" w:eastAsia="en-US"/>
                    </w:rPr>
                    <w:t>8</w:t>
                  </w:r>
                  <w:r>
                    <w:rPr>
                      <w:rFonts w:hint="default" w:ascii="Times New Roman" w:hAnsi="Times New Roman" w:eastAsia="宋体" w:cs="Times New Roman"/>
                      <w:color w:val="auto"/>
                      <w:sz w:val="18"/>
                      <w:szCs w:val="18"/>
                      <w:lang w:val="en-US" w:eastAsia="en-US"/>
                    </w:rPr>
                    <w:t>MPN/a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LAS</w:t>
                  </w:r>
                </w:p>
              </w:tc>
              <w:tc>
                <w:tcPr>
                  <w:tcW w:w="1018"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0.000634</w:t>
                  </w:r>
                </w:p>
              </w:tc>
              <w:tc>
                <w:tcPr>
                  <w:tcW w:w="1018" w:type="pct"/>
                  <w:vAlign w:val="center"/>
                </w:tcPr>
                <w:p>
                  <w:pPr>
                    <w:jc w:val="center"/>
                    <w:rPr>
                      <w:rFonts w:hint="default" w:ascii="Times New Roman" w:hAnsi="Times New Roman" w:eastAsia="宋体" w:cs="Times New Roman"/>
                      <w:color w:val="auto"/>
                      <w:sz w:val="18"/>
                      <w:szCs w:val="18"/>
                      <w:highlight w:val="yellow"/>
                      <w:lang w:val="en-US" w:eastAsia="zh-CN"/>
                    </w:rPr>
                  </w:pPr>
                  <w:r>
                    <w:rPr>
                      <w:rFonts w:hint="default" w:ascii="Times New Roman" w:hAnsi="Times New Roman" w:eastAsia="宋体" w:cs="Times New Roman"/>
                      <w:color w:val="auto"/>
                      <w:sz w:val="18"/>
                      <w:szCs w:val="18"/>
                      <w:lang w:val="en-US" w:eastAsia="zh-CN"/>
                    </w:rPr>
                    <w:t>0</w:t>
                  </w:r>
                </w:p>
              </w:tc>
              <w:tc>
                <w:tcPr>
                  <w:tcW w:w="976" w:type="pct"/>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0.000634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en-US"/>
                    </w:rPr>
                    <w:t>总余氯</w:t>
                  </w:r>
                </w:p>
              </w:tc>
              <w:tc>
                <w:tcPr>
                  <w:tcW w:w="1018"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0.000317</w:t>
                  </w:r>
                </w:p>
              </w:tc>
              <w:tc>
                <w:tcPr>
                  <w:tcW w:w="1018" w:type="pct"/>
                  <w:vAlign w:val="center"/>
                </w:tcPr>
                <w:p>
                  <w:pPr>
                    <w:jc w:val="center"/>
                    <w:rPr>
                      <w:rFonts w:hint="default" w:ascii="Times New Roman" w:hAnsi="Times New Roman" w:eastAsia="宋体" w:cs="Times New Roman"/>
                      <w:color w:val="auto"/>
                      <w:sz w:val="18"/>
                      <w:szCs w:val="18"/>
                      <w:highlight w:val="yellow"/>
                      <w:lang w:val="en-US" w:eastAsia="zh-CN"/>
                    </w:rPr>
                  </w:pPr>
                  <w:r>
                    <w:rPr>
                      <w:rFonts w:hint="default" w:ascii="Times New Roman" w:hAnsi="Times New Roman" w:eastAsia="宋体" w:cs="Times New Roman"/>
                      <w:color w:val="auto"/>
                      <w:sz w:val="18"/>
                      <w:szCs w:val="18"/>
                      <w:lang w:val="en-US" w:eastAsia="zh-CN"/>
                    </w:rPr>
                    <w:t>0</w:t>
                  </w:r>
                </w:p>
              </w:tc>
              <w:tc>
                <w:tcPr>
                  <w:tcW w:w="976" w:type="pct"/>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0.000317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洗浴污水</w:t>
                  </w: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废水量</w:t>
                  </w:r>
                </w:p>
              </w:tc>
              <w:tc>
                <w:tcPr>
                  <w:tcW w:w="101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140</w:t>
                  </w:r>
                </w:p>
              </w:tc>
              <w:tc>
                <w:tcPr>
                  <w:tcW w:w="1018" w:type="pct"/>
                  <w:vAlign w:val="center"/>
                </w:tcPr>
                <w:p>
                  <w:pPr>
                    <w:jc w:val="center"/>
                    <w:rPr>
                      <w:rFonts w:hint="default" w:ascii="Times New Roman" w:hAnsi="Times New Roman" w:eastAsia="宋体" w:cs="Times New Roman"/>
                      <w:color w:val="auto"/>
                      <w:sz w:val="18"/>
                      <w:szCs w:val="18"/>
                      <w:highlight w:val="yellow"/>
                      <w:lang w:val="en-US" w:eastAsia="zh-CN"/>
                    </w:rPr>
                  </w:pPr>
                  <w:r>
                    <w:rPr>
                      <w:rFonts w:hint="default" w:ascii="Times New Roman" w:hAnsi="Times New Roman" w:eastAsia="宋体" w:cs="Times New Roman"/>
                      <w:color w:val="auto"/>
                      <w:sz w:val="18"/>
                      <w:szCs w:val="18"/>
                      <w:lang w:val="en-US" w:eastAsia="zh-CN"/>
                    </w:rPr>
                    <w:t>0</w:t>
                  </w:r>
                </w:p>
              </w:tc>
              <w:tc>
                <w:tcPr>
                  <w:tcW w:w="976"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pH</w:t>
                  </w:r>
                </w:p>
              </w:tc>
              <w:tc>
                <w:tcPr>
                  <w:tcW w:w="101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sz w:val="18"/>
                      <w:szCs w:val="18"/>
                      <w:lang w:bidi="ar"/>
                    </w:rPr>
                    <w:t>—</w:t>
                  </w:r>
                </w:p>
              </w:tc>
              <w:tc>
                <w:tcPr>
                  <w:tcW w:w="101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sz w:val="18"/>
                      <w:szCs w:val="18"/>
                      <w:lang w:bidi="ar"/>
                    </w:rPr>
                    <w:t>—</w:t>
                  </w:r>
                </w:p>
              </w:tc>
              <w:tc>
                <w:tcPr>
                  <w:tcW w:w="976"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sz w:val="18"/>
                      <w:szCs w:val="18"/>
                      <w:lang w:bidi="a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COD</w:t>
                  </w:r>
                </w:p>
              </w:tc>
              <w:tc>
                <w:tcPr>
                  <w:tcW w:w="1018"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0.056</w:t>
                  </w:r>
                </w:p>
              </w:tc>
              <w:tc>
                <w:tcPr>
                  <w:tcW w:w="101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976" w:type="pct"/>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0.0476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SS</w:t>
                  </w:r>
                </w:p>
              </w:tc>
              <w:tc>
                <w:tcPr>
                  <w:tcW w:w="1018"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0.028</w:t>
                  </w:r>
                </w:p>
              </w:tc>
              <w:tc>
                <w:tcPr>
                  <w:tcW w:w="101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976" w:type="pct"/>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0.0196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氨氮</w:t>
                  </w:r>
                </w:p>
              </w:tc>
              <w:tc>
                <w:tcPr>
                  <w:tcW w:w="1018"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0.0035</w:t>
                  </w:r>
                </w:p>
              </w:tc>
              <w:tc>
                <w:tcPr>
                  <w:tcW w:w="101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976" w:type="pct"/>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0.0035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总磷</w:t>
                  </w:r>
                </w:p>
              </w:tc>
              <w:tc>
                <w:tcPr>
                  <w:tcW w:w="1018"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0.00056</w:t>
                  </w:r>
                </w:p>
              </w:tc>
              <w:tc>
                <w:tcPr>
                  <w:tcW w:w="101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976"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0.00056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LAS</w:t>
                  </w:r>
                </w:p>
              </w:tc>
              <w:tc>
                <w:tcPr>
                  <w:tcW w:w="1018"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0.0014</w:t>
                  </w:r>
                </w:p>
              </w:tc>
              <w:tc>
                <w:tcPr>
                  <w:tcW w:w="101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976"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总氮</w:t>
                  </w:r>
                </w:p>
              </w:tc>
              <w:tc>
                <w:tcPr>
                  <w:tcW w:w="1018"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0.0056</w:t>
                  </w:r>
                </w:p>
              </w:tc>
              <w:tc>
                <w:tcPr>
                  <w:tcW w:w="101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976"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0.0056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废气</w:t>
                  </w:r>
                </w:p>
              </w:tc>
              <w:tc>
                <w:tcPr>
                  <w:tcW w:w="1087"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sz w:val="18"/>
                      <w:szCs w:val="18"/>
                    </w:rPr>
                    <w:t>—</w:t>
                  </w:r>
                </w:p>
              </w:tc>
              <w:tc>
                <w:tcPr>
                  <w:tcW w:w="101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sz w:val="18"/>
                      <w:szCs w:val="18"/>
                    </w:rPr>
                    <w:t>—</w:t>
                  </w:r>
                </w:p>
              </w:tc>
              <w:tc>
                <w:tcPr>
                  <w:tcW w:w="101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sz w:val="18"/>
                      <w:szCs w:val="18"/>
                    </w:rPr>
                    <w:t>—</w:t>
                  </w:r>
                </w:p>
              </w:tc>
              <w:tc>
                <w:tcPr>
                  <w:tcW w:w="976"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一般固废</w:t>
                  </w: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生活垃圾</w:t>
                  </w:r>
                </w:p>
              </w:tc>
              <w:tc>
                <w:tcPr>
                  <w:tcW w:w="1018"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kern w:val="2"/>
                      <w:sz w:val="18"/>
                      <w:szCs w:val="18"/>
                      <w:lang w:val="en-US" w:eastAsia="zh-CN"/>
                    </w:rPr>
                    <w:t>6.6t/a</w:t>
                  </w:r>
                </w:p>
              </w:tc>
              <w:tc>
                <w:tcPr>
                  <w:tcW w:w="1018"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18"/>
                      <w:szCs w:val="18"/>
                      <w:lang w:val="en-US" w:eastAsia="zh-CN"/>
                    </w:rPr>
                    <w:t>0</w:t>
                  </w:r>
                </w:p>
              </w:tc>
              <w:tc>
                <w:tcPr>
                  <w:tcW w:w="976"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kern w:val="2"/>
                      <w:sz w:val="18"/>
                      <w:szCs w:val="18"/>
                      <w:lang w:val="en-US" w:eastAsia="zh-CN"/>
                    </w:rPr>
                    <w:t>0.1t/a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动物粪便</w:t>
                  </w:r>
                </w:p>
              </w:tc>
              <w:tc>
                <w:tcPr>
                  <w:tcW w:w="1018" w:type="pct"/>
                  <w:vAlign w:val="center"/>
                </w:tcPr>
                <w:p>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rPr>
                    <w:t>0.1t/a</w:t>
                  </w:r>
                </w:p>
              </w:tc>
              <w:tc>
                <w:tcPr>
                  <w:tcW w:w="1018" w:type="pct"/>
                  <w:vAlign w:val="center"/>
                </w:tcPr>
                <w:p>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color w:val="auto"/>
                      <w:sz w:val="18"/>
                      <w:szCs w:val="18"/>
                      <w:lang w:val="en-US" w:eastAsia="zh-CN"/>
                    </w:rPr>
                    <w:t>0</w:t>
                  </w:r>
                </w:p>
              </w:tc>
              <w:tc>
                <w:tcPr>
                  <w:tcW w:w="976" w:type="pct"/>
                  <w:vAlign w:val="center"/>
                </w:tcPr>
                <w:p>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kern w:val="2"/>
                      <w:sz w:val="18"/>
                      <w:szCs w:val="18"/>
                      <w:lang w:val="en-US" w:eastAsia="zh-CN"/>
                    </w:rPr>
                    <w:t>0.1t/a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restar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危险废物</w:t>
                  </w: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感染性废物</w:t>
                  </w:r>
                </w:p>
              </w:tc>
              <w:tc>
                <w:tcPr>
                  <w:tcW w:w="1018"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kern w:val="2"/>
                      <w:sz w:val="18"/>
                      <w:szCs w:val="18"/>
                      <w:lang w:val="en-US" w:eastAsia="zh-CN"/>
                    </w:rPr>
                    <w:t>0.1t/a</w:t>
                  </w:r>
                </w:p>
              </w:tc>
              <w:tc>
                <w:tcPr>
                  <w:tcW w:w="1018"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18"/>
                      <w:szCs w:val="18"/>
                      <w:lang w:val="en-US" w:eastAsia="zh-CN"/>
                    </w:rPr>
                    <w:t>0</w:t>
                  </w:r>
                </w:p>
              </w:tc>
              <w:tc>
                <w:tcPr>
                  <w:tcW w:w="976"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kern w:val="2"/>
                      <w:sz w:val="18"/>
                      <w:szCs w:val="18"/>
                      <w:lang w:val="en-US" w:eastAsia="zh-CN"/>
                    </w:rPr>
                    <w:t>0.1t/a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9" w:hRule="atLeast"/>
                <w:jc w:val="center"/>
              </w:trPr>
              <w:tc>
                <w:tcPr>
                  <w:tcW w:w="898" w:type="pct"/>
                  <w:vMerge w:val="continue"/>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p>
              </w:tc>
              <w:tc>
                <w:tcPr>
                  <w:tcW w:w="1087"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病理性废物</w:t>
                  </w:r>
                </w:p>
              </w:tc>
              <w:tc>
                <w:tcPr>
                  <w:tcW w:w="1018"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kern w:val="2"/>
                      <w:sz w:val="18"/>
                      <w:szCs w:val="18"/>
                      <w:lang w:val="en-US" w:eastAsia="zh-CN"/>
                    </w:rPr>
                    <w:t>0.1t/a</w:t>
                  </w:r>
                </w:p>
              </w:tc>
              <w:tc>
                <w:tcPr>
                  <w:tcW w:w="1018"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18"/>
                      <w:szCs w:val="18"/>
                      <w:lang w:val="en-US" w:eastAsia="zh-CN"/>
                    </w:rPr>
                    <w:t>0</w:t>
                  </w:r>
                </w:p>
              </w:tc>
              <w:tc>
                <w:tcPr>
                  <w:tcW w:w="976" w:type="pc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kern w:val="2"/>
                      <w:sz w:val="18"/>
                      <w:szCs w:val="18"/>
                      <w:lang w:val="en-US" w:eastAsia="zh-CN"/>
                    </w:rPr>
                    <w:t>0.1t/a</w:t>
                  </w:r>
                </w:p>
              </w:tc>
            </w:tr>
          </w:tbl>
          <w:p>
            <w:pPr>
              <w:widowControl/>
              <w:shd w:val="clear" w:color="auto" w:fill="FFFFFF"/>
              <w:jc w:val="left"/>
              <w:rPr>
                <w:rFonts w:ascii="宋体" w:hAnsi="宋体"/>
                <w:sz w:val="18"/>
                <w:szCs w:val="18"/>
              </w:rPr>
            </w:pPr>
            <w:r>
              <w:rPr>
                <w:rFonts w:ascii="宋体" w:hAnsi="宋体"/>
                <w:sz w:val="18"/>
                <w:szCs w:val="18"/>
              </w:rPr>
              <w:t>注：排放量为排入</w:t>
            </w:r>
            <w:r>
              <w:rPr>
                <w:rFonts w:hint="eastAsia" w:ascii="宋体" w:hAnsi="宋体"/>
                <w:sz w:val="18"/>
                <w:szCs w:val="18"/>
              </w:rPr>
              <w:t>城</w:t>
            </w:r>
            <w:r>
              <w:rPr>
                <w:rFonts w:hint="eastAsia" w:ascii="宋体" w:hAnsi="宋体"/>
                <w:sz w:val="18"/>
                <w:szCs w:val="18"/>
                <w:lang w:val="en-US" w:eastAsia="zh-CN"/>
              </w:rPr>
              <w:t>东</w:t>
            </w:r>
            <w:r>
              <w:rPr>
                <w:rFonts w:hint="eastAsia" w:ascii="宋体" w:hAnsi="宋体"/>
                <w:sz w:val="18"/>
                <w:szCs w:val="18"/>
              </w:rPr>
              <w:t>污水处理厂</w:t>
            </w:r>
            <w:r>
              <w:rPr>
                <w:rFonts w:ascii="宋体" w:hAnsi="宋体"/>
                <w:sz w:val="18"/>
                <w:szCs w:val="18"/>
              </w:rPr>
              <w:t>的接管考核量。</w:t>
            </w:r>
          </w:p>
          <w:p>
            <w:pPr>
              <w:rPr>
                <w:color w:val="FF0000"/>
                <w:sz w:val="18"/>
                <w:szCs w:val="18"/>
              </w:rPr>
            </w:pPr>
            <w:r>
              <w:rPr>
                <w:rFonts w:hint="eastAsia" w:ascii="宋体" w:hAnsi="宋体"/>
                <w:sz w:val="18"/>
                <w:szCs w:val="18"/>
              </w:rPr>
              <w:t>建设项目固废排放总量为零；废水排放总量包含在城东污水处理厂的排放总量内；废气排放总量拟在高新区范围内平衡，排放总量报苏州市太仓生态环境局审批同意后实施。</w:t>
            </w:r>
          </w:p>
        </w:tc>
      </w:tr>
    </w:tbl>
    <w:p>
      <w:pPr>
        <w:pStyle w:val="32"/>
        <w:tabs>
          <w:tab w:val="left" w:pos="5472"/>
        </w:tabs>
        <w:outlineLvl w:val="0"/>
        <w:rPr>
          <w:rFonts w:ascii="Times New Roman" w:hAnsi="Times New Roman"/>
          <w:snapToGrid w:val="0"/>
          <w:color w:val="FF0000"/>
          <w:sz w:val="36"/>
          <w:szCs w:val="36"/>
        </w:rPr>
      </w:pPr>
      <w:r>
        <w:rPr>
          <w:rFonts w:ascii="Times New Roman" w:hAnsi="Times New Roman"/>
          <w:snapToGrid w:val="0"/>
          <w:color w:val="FF0000"/>
          <w:sz w:val="36"/>
          <w:szCs w:val="36"/>
        </w:rPr>
        <w:tab/>
      </w:r>
    </w:p>
    <w:p/>
    <w:p>
      <w:pPr>
        <w:pStyle w:val="32"/>
        <w:jc w:val="center"/>
        <w:outlineLvl w:val="0"/>
        <w:rPr>
          <w:rFonts w:ascii="黑体" w:hAnsi="黑体" w:eastAsia="黑体"/>
          <w:bCs/>
          <w:snapToGrid w:val="0"/>
          <w:sz w:val="30"/>
          <w:szCs w:val="30"/>
        </w:rPr>
      </w:pPr>
      <w:r>
        <w:br w:type="page"/>
      </w:r>
      <w:r>
        <w:rPr>
          <w:rFonts w:ascii="黑体" w:hAnsi="黑体" w:eastAsia="黑体"/>
          <w:bCs/>
          <w:snapToGrid w:val="0"/>
          <w:sz w:val="30"/>
          <w:szCs w:val="30"/>
        </w:rPr>
        <w:t>四、主要环境影响和保护措施</w:t>
      </w:r>
    </w:p>
    <w:tbl>
      <w:tblPr>
        <w:tblStyle w:val="36"/>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908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147" w:hRule="atLeast"/>
          <w:jc w:val="center"/>
        </w:trPr>
        <w:tc>
          <w:tcPr>
            <w:tcW w:w="401" w:type="pct"/>
            <w:tcMar>
              <w:left w:w="28" w:type="dxa"/>
              <w:right w:w="28" w:type="dxa"/>
            </w:tcMar>
            <w:vAlign w:val="center"/>
          </w:tcPr>
          <w:p>
            <w:pPr>
              <w:pStyle w:val="32"/>
              <w:adjustRightInd w:val="0"/>
              <w:snapToGrid w:val="0"/>
              <w:spacing w:before="0" w:beforeAutospacing="0" w:after="0" w:afterAutospacing="0" w:line="360" w:lineRule="auto"/>
              <w:jc w:val="center"/>
              <w:rPr>
                <w:rFonts w:ascii="Times New Roman" w:hAnsi="Times New Roman"/>
                <w:kern w:val="2"/>
                <w:sz w:val="21"/>
                <w:szCs w:val="21"/>
              </w:rPr>
            </w:pPr>
            <w:r>
              <w:rPr>
                <w:rFonts w:ascii="Times New Roman" w:hAnsi="Times New Roman"/>
                <w:kern w:val="2"/>
                <w:sz w:val="21"/>
                <w:szCs w:val="21"/>
              </w:rPr>
              <w:t>施工期环境保护措施</w:t>
            </w:r>
          </w:p>
        </w:tc>
        <w:tc>
          <w:tcPr>
            <w:tcW w:w="4598" w:type="pct"/>
            <w:vAlign w:val="center"/>
          </w:tcPr>
          <w:p>
            <w:pPr>
              <w:snapToGrid w:val="0"/>
              <w:spacing w:after="120" w:afterLines="50" w:line="360" w:lineRule="auto"/>
              <w:ind w:right="195" w:rightChars="93" w:firstLine="452" w:firstLineChars="200"/>
              <w:rPr>
                <w:bCs/>
                <w:szCs w:val="21"/>
              </w:rPr>
            </w:pPr>
            <w:r>
              <w:rPr>
                <w:rFonts w:hint="eastAsia"/>
                <w:spacing w:val="8"/>
                <w:sz w:val="21"/>
                <w:szCs w:val="21"/>
                <w:shd w:val="clear" w:color="auto" w:fill="FFFFFF"/>
              </w:rPr>
              <w:t>施工期主要为设备进场和生产线的安装调试，施工期较短，工程量不大，施工期对周围环境的影响较小。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254" w:hRule="atLeast"/>
          <w:jc w:val="center"/>
        </w:trPr>
        <w:tc>
          <w:tcPr>
            <w:tcW w:w="401" w:type="pct"/>
            <w:tcMar>
              <w:left w:w="28" w:type="dxa"/>
              <w:right w:w="28" w:type="dxa"/>
            </w:tcMar>
            <w:vAlign w:val="center"/>
          </w:tcPr>
          <w:p>
            <w:pPr>
              <w:adjustRightInd w:val="0"/>
              <w:snapToGrid w:val="0"/>
              <w:spacing w:line="360" w:lineRule="auto"/>
              <w:jc w:val="center"/>
              <w:rPr>
                <w:bCs/>
                <w:szCs w:val="21"/>
              </w:rPr>
            </w:pPr>
            <w:r>
              <w:rPr>
                <w:bCs/>
                <w:szCs w:val="21"/>
              </w:rPr>
              <w:t>运营</w:t>
            </w:r>
          </w:p>
          <w:p>
            <w:pPr>
              <w:adjustRightInd w:val="0"/>
              <w:snapToGrid w:val="0"/>
              <w:spacing w:line="360" w:lineRule="auto"/>
              <w:jc w:val="center"/>
              <w:rPr>
                <w:bCs/>
                <w:szCs w:val="21"/>
              </w:rPr>
            </w:pPr>
            <w:r>
              <w:rPr>
                <w:bCs/>
                <w:szCs w:val="21"/>
              </w:rPr>
              <w:t>期环</w:t>
            </w:r>
          </w:p>
          <w:p>
            <w:pPr>
              <w:adjustRightInd w:val="0"/>
              <w:snapToGrid w:val="0"/>
              <w:spacing w:line="360" w:lineRule="auto"/>
              <w:jc w:val="center"/>
              <w:rPr>
                <w:bCs/>
                <w:szCs w:val="21"/>
              </w:rPr>
            </w:pPr>
            <w:r>
              <w:rPr>
                <w:bCs/>
                <w:szCs w:val="21"/>
              </w:rPr>
              <w:t>境影</w:t>
            </w:r>
          </w:p>
          <w:p>
            <w:pPr>
              <w:adjustRightInd w:val="0"/>
              <w:snapToGrid w:val="0"/>
              <w:spacing w:line="360" w:lineRule="auto"/>
              <w:jc w:val="center"/>
              <w:rPr>
                <w:bCs/>
                <w:szCs w:val="21"/>
              </w:rPr>
            </w:pPr>
            <w:r>
              <w:rPr>
                <w:bCs/>
                <w:szCs w:val="21"/>
              </w:rPr>
              <w:t>响和</w:t>
            </w:r>
          </w:p>
          <w:p>
            <w:pPr>
              <w:adjustRightInd w:val="0"/>
              <w:snapToGrid w:val="0"/>
              <w:spacing w:line="360" w:lineRule="auto"/>
              <w:jc w:val="center"/>
              <w:rPr>
                <w:bCs/>
                <w:szCs w:val="21"/>
              </w:rPr>
            </w:pPr>
            <w:r>
              <w:rPr>
                <w:bCs/>
                <w:szCs w:val="21"/>
              </w:rPr>
              <w:t>保护</w:t>
            </w:r>
          </w:p>
          <w:p>
            <w:pPr>
              <w:adjustRightInd w:val="0"/>
              <w:snapToGrid w:val="0"/>
              <w:spacing w:line="360" w:lineRule="auto"/>
              <w:jc w:val="center"/>
              <w:rPr>
                <w:bCs/>
                <w:color w:val="FF0000"/>
                <w:szCs w:val="21"/>
              </w:rPr>
            </w:pPr>
            <w:r>
              <w:rPr>
                <w:bCs/>
                <w:szCs w:val="21"/>
              </w:rPr>
              <w:t>措施</w:t>
            </w:r>
          </w:p>
        </w:tc>
        <w:tc>
          <w:tcPr>
            <w:tcW w:w="4598" w:type="pct"/>
            <w:vAlign w:val="center"/>
          </w:tcPr>
          <w:p>
            <w:pPr>
              <w:numPr>
                <w:ilvl w:val="0"/>
                <w:numId w:val="6"/>
              </w:numPr>
              <w:snapToGrid w:val="0"/>
              <w:spacing w:line="360" w:lineRule="auto"/>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废气</w:t>
            </w:r>
          </w:p>
          <w:p>
            <w:pPr>
              <w:widowControl/>
              <w:shd w:val="clear" w:color="auto" w:fill="FFFFFF"/>
              <w:spacing w:line="360" w:lineRule="auto"/>
              <w:ind w:firstLine="452" w:firstLineChars="200"/>
              <w:jc w:val="left"/>
              <w:rPr>
                <w:rFonts w:hint="eastAsia" w:ascii="宋体" w:hAnsi="宋体" w:eastAsia="宋体" w:cs="宋体"/>
                <w:spacing w:val="8"/>
                <w:kern w:val="0"/>
                <w:sz w:val="21"/>
                <w:szCs w:val="21"/>
              </w:rPr>
            </w:pPr>
            <w:r>
              <w:rPr>
                <w:rFonts w:hint="eastAsia" w:ascii="宋体" w:hAnsi="宋体" w:eastAsia="宋体" w:cs="宋体"/>
                <w:spacing w:val="8"/>
                <w:kern w:val="0"/>
                <w:sz w:val="21"/>
                <w:szCs w:val="21"/>
              </w:rPr>
              <w:t>由宠物医院提供的资料可知，该类医院的废气主要是由宠物的粪便、尿液、医疗废物暂存场所的异味。根据项目实际情况，本项目接待的宠物排便</w:t>
            </w:r>
            <w:r>
              <w:rPr>
                <w:rFonts w:hint="eastAsia" w:ascii="宋体" w:hAnsi="宋体" w:eastAsia="宋体" w:cs="宋体"/>
                <w:spacing w:val="8"/>
                <w:kern w:val="0"/>
                <w:sz w:val="21"/>
                <w:szCs w:val="21"/>
                <w:lang w:val="en-US" w:eastAsia="zh-CN"/>
              </w:rPr>
              <w:t>后</w:t>
            </w:r>
            <w:r>
              <w:rPr>
                <w:rFonts w:hint="eastAsia" w:ascii="宋体" w:hAnsi="宋体" w:eastAsia="宋体" w:cs="宋体"/>
                <w:spacing w:val="8"/>
                <w:kern w:val="0"/>
                <w:sz w:val="21"/>
                <w:szCs w:val="21"/>
              </w:rPr>
              <w:t>，由人工收集清理，与生活垃圾一同交由环卫处理。类比其他宠物医院实际生产情况，通过加强室内通风处理，定期采用消毒液消毒等措施可有效减少异味影响，对周围大气环境影响较小</w:t>
            </w:r>
            <w:r>
              <w:rPr>
                <w:rFonts w:hint="eastAsia" w:ascii="宋体" w:hAnsi="宋体" w:eastAsia="宋体" w:cs="宋体"/>
                <w:spacing w:val="8"/>
                <w:kern w:val="0"/>
                <w:sz w:val="21"/>
                <w:szCs w:val="21"/>
                <w:lang w:eastAsia="zh-CN"/>
              </w:rPr>
              <w:t>。</w:t>
            </w:r>
            <w:r>
              <w:rPr>
                <w:rFonts w:hint="eastAsia" w:ascii="宋体" w:hAnsi="宋体" w:eastAsia="宋体" w:cs="宋体"/>
                <w:spacing w:val="8"/>
                <w:kern w:val="0"/>
                <w:sz w:val="21"/>
                <w:szCs w:val="21"/>
              </w:rPr>
              <w:t>本项目乙醇为多频少量的使用模式，挥发产生的有机废气较少，通过加强医院内的通风，可有效减少本项目对周围大气环境的影响。要求营运后医院边界处不得有明显异味，不会降低环境质量。</w:t>
            </w:r>
          </w:p>
          <w:p>
            <w:pPr>
              <w:widowControl/>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表4-</w:t>
            </w:r>
            <w:r>
              <w:rPr>
                <w:rFonts w:hint="eastAsia" w:ascii="宋体" w:hAnsi="宋体" w:eastAsia="宋体" w:cs="宋体"/>
                <w:b/>
                <w:bCs/>
                <w:sz w:val="21"/>
                <w:szCs w:val="21"/>
                <w:lang w:val="en-US" w:eastAsia="zh-CN"/>
              </w:rPr>
              <w:t>1</w:t>
            </w:r>
            <w:r>
              <w:rPr>
                <w:rFonts w:hint="eastAsia" w:ascii="宋体" w:hAnsi="宋体" w:eastAsia="宋体" w:cs="宋体"/>
                <w:b/>
                <w:bCs/>
                <w:sz w:val="21"/>
                <w:szCs w:val="21"/>
              </w:rPr>
              <w:t>废</w:t>
            </w:r>
            <w:r>
              <w:rPr>
                <w:rFonts w:hint="eastAsia" w:ascii="宋体" w:hAnsi="宋体" w:eastAsia="宋体" w:cs="宋体"/>
                <w:b/>
                <w:bCs/>
                <w:sz w:val="21"/>
                <w:szCs w:val="21"/>
                <w:lang w:val="en-US" w:eastAsia="zh-CN"/>
              </w:rPr>
              <w:t>气</w:t>
            </w:r>
            <w:r>
              <w:rPr>
                <w:rFonts w:hint="eastAsia" w:ascii="宋体" w:hAnsi="宋体" w:eastAsia="宋体" w:cs="宋体"/>
                <w:b/>
                <w:bCs/>
                <w:sz w:val="21"/>
                <w:szCs w:val="21"/>
              </w:rPr>
              <w:t>监测要求</w:t>
            </w:r>
          </w:p>
          <w:tbl>
            <w:tblPr>
              <w:tblStyle w:val="3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0"/>
              <w:gridCol w:w="1770"/>
              <w:gridCol w:w="1772"/>
              <w:gridCol w:w="1772"/>
              <w:gridCol w:w="1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vAlign w:val="center"/>
                </w:tcPr>
                <w:p>
                  <w:pPr>
                    <w:widowControl/>
                    <w:spacing w:line="360" w:lineRule="auto"/>
                    <w:jc w:val="center"/>
                    <w:rPr>
                      <w:rFonts w:hint="default" w:ascii="Times New Roman" w:hAnsi="Times New Roman" w:eastAsia="宋体" w:cs="Times New Roman"/>
                      <w:b/>
                      <w:bCs/>
                      <w:sz w:val="18"/>
                      <w:szCs w:val="18"/>
                      <w:vertAlign w:val="baseline"/>
                      <w:lang w:val="en-US" w:eastAsia="zh-CN"/>
                    </w:rPr>
                  </w:pPr>
                  <w:r>
                    <w:rPr>
                      <w:rFonts w:hint="default" w:ascii="Times New Roman" w:hAnsi="Times New Roman" w:eastAsia="宋体" w:cs="Times New Roman"/>
                      <w:b/>
                      <w:bCs/>
                      <w:sz w:val="18"/>
                      <w:szCs w:val="18"/>
                      <w:vertAlign w:val="baseline"/>
                      <w:lang w:val="en-US" w:eastAsia="zh-CN"/>
                    </w:rPr>
                    <w:t>种类</w:t>
                  </w:r>
                </w:p>
              </w:tc>
              <w:tc>
                <w:tcPr>
                  <w:tcW w:w="999" w:type="pct"/>
                  <w:vAlign w:val="center"/>
                </w:tcPr>
                <w:p>
                  <w:pPr>
                    <w:widowControl/>
                    <w:spacing w:line="360" w:lineRule="auto"/>
                    <w:jc w:val="center"/>
                    <w:rPr>
                      <w:rFonts w:hint="default" w:ascii="Times New Roman" w:hAnsi="Times New Roman" w:eastAsia="宋体" w:cs="Times New Roman"/>
                      <w:b/>
                      <w:bCs/>
                      <w:sz w:val="18"/>
                      <w:szCs w:val="18"/>
                      <w:vertAlign w:val="baseline"/>
                      <w:lang w:val="en-US" w:eastAsia="zh-CN"/>
                    </w:rPr>
                  </w:pPr>
                  <w:r>
                    <w:rPr>
                      <w:rFonts w:hint="default" w:ascii="Times New Roman" w:hAnsi="Times New Roman" w:eastAsia="宋体" w:cs="Times New Roman"/>
                      <w:b/>
                      <w:bCs/>
                      <w:sz w:val="18"/>
                      <w:szCs w:val="18"/>
                      <w:vertAlign w:val="baseline"/>
                      <w:lang w:val="en-US" w:eastAsia="zh-CN"/>
                    </w:rPr>
                    <w:t>监测点位</w:t>
                  </w:r>
                </w:p>
              </w:tc>
              <w:tc>
                <w:tcPr>
                  <w:tcW w:w="1000" w:type="pct"/>
                  <w:vAlign w:val="center"/>
                </w:tcPr>
                <w:p>
                  <w:pPr>
                    <w:widowControl/>
                    <w:spacing w:line="360" w:lineRule="auto"/>
                    <w:jc w:val="center"/>
                    <w:rPr>
                      <w:rFonts w:hint="default" w:ascii="Times New Roman" w:hAnsi="Times New Roman" w:eastAsia="宋体" w:cs="Times New Roman"/>
                      <w:b/>
                      <w:bCs/>
                      <w:sz w:val="18"/>
                      <w:szCs w:val="18"/>
                      <w:vertAlign w:val="baseline"/>
                      <w:lang w:val="en-US" w:eastAsia="zh-CN"/>
                    </w:rPr>
                  </w:pPr>
                  <w:r>
                    <w:rPr>
                      <w:rFonts w:hint="default" w:ascii="Times New Roman" w:hAnsi="Times New Roman" w:eastAsia="宋体" w:cs="Times New Roman"/>
                      <w:b/>
                      <w:bCs/>
                      <w:sz w:val="18"/>
                      <w:szCs w:val="18"/>
                      <w:vertAlign w:val="baseline"/>
                      <w:lang w:val="en-US" w:eastAsia="zh-CN"/>
                    </w:rPr>
                    <w:t>监测项目</w:t>
                  </w:r>
                </w:p>
              </w:tc>
              <w:tc>
                <w:tcPr>
                  <w:tcW w:w="1000" w:type="pct"/>
                  <w:vAlign w:val="center"/>
                </w:tcPr>
                <w:p>
                  <w:pPr>
                    <w:jc w:val="center"/>
                    <w:rPr>
                      <w:rFonts w:hint="default" w:ascii="Times New Roman" w:hAnsi="Times New Roman" w:eastAsia="宋体" w:cs="Times New Roman"/>
                      <w:b/>
                      <w:bCs/>
                      <w:color w:val="auto"/>
                      <w:kern w:val="2"/>
                      <w:sz w:val="18"/>
                      <w:szCs w:val="18"/>
                      <w:lang w:val="en-US" w:eastAsia="zh-CN" w:bidi="ar-SA"/>
                    </w:rPr>
                  </w:pPr>
                  <w:r>
                    <w:rPr>
                      <w:rFonts w:hint="default" w:ascii="Times New Roman" w:hAnsi="Times New Roman" w:eastAsia="宋体" w:cs="Times New Roman"/>
                      <w:b/>
                      <w:bCs/>
                      <w:color w:val="auto"/>
                      <w:sz w:val="18"/>
                      <w:szCs w:val="18"/>
                    </w:rPr>
                    <w:t>监测频次</w:t>
                  </w:r>
                </w:p>
              </w:tc>
              <w:tc>
                <w:tcPr>
                  <w:tcW w:w="1000" w:type="pct"/>
                  <w:vAlign w:val="center"/>
                </w:tcPr>
                <w:p>
                  <w:pPr>
                    <w:jc w:val="center"/>
                    <w:rPr>
                      <w:rFonts w:hint="default" w:ascii="Times New Roman" w:hAnsi="Times New Roman" w:eastAsia="宋体" w:cs="Times New Roman"/>
                      <w:b/>
                      <w:bCs/>
                      <w:color w:val="auto"/>
                      <w:kern w:val="2"/>
                      <w:sz w:val="18"/>
                      <w:szCs w:val="18"/>
                      <w:lang w:val="en-US" w:eastAsia="zh-CN" w:bidi="ar-SA"/>
                    </w:rPr>
                  </w:pPr>
                  <w:r>
                    <w:rPr>
                      <w:rFonts w:hint="default" w:ascii="Times New Roman" w:hAnsi="Times New Roman" w:eastAsia="宋体" w:cs="Times New Roman"/>
                      <w:b/>
                      <w:bCs/>
                      <w:color w:val="auto"/>
                      <w:sz w:val="18"/>
                      <w:szCs w:val="18"/>
                    </w:rPr>
                    <w:t>监测方式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vAlign w:val="center"/>
                </w:tcPr>
                <w:p>
                  <w:pPr>
                    <w:widowControl/>
                    <w:spacing w:line="360" w:lineRule="auto"/>
                    <w:jc w:val="center"/>
                    <w:rPr>
                      <w:rFonts w:hint="default" w:ascii="Times New Roman" w:hAnsi="Times New Roman" w:eastAsia="宋体" w:cs="Times New Roman"/>
                      <w:sz w:val="18"/>
                      <w:szCs w:val="18"/>
                      <w:vertAlign w:val="baseline"/>
                      <w:lang w:val="en-US" w:eastAsia="zh-CN"/>
                    </w:rPr>
                  </w:pPr>
                  <w:r>
                    <w:rPr>
                      <w:rFonts w:hint="default" w:ascii="Times New Roman" w:hAnsi="Times New Roman" w:eastAsia="宋体" w:cs="Times New Roman"/>
                      <w:sz w:val="18"/>
                      <w:szCs w:val="18"/>
                      <w:vertAlign w:val="baseline"/>
                      <w:lang w:val="en-US" w:eastAsia="zh-CN"/>
                    </w:rPr>
                    <w:t>无组织废气</w:t>
                  </w:r>
                </w:p>
              </w:tc>
              <w:tc>
                <w:tcPr>
                  <w:tcW w:w="999" w:type="pct"/>
                  <w:vAlign w:val="center"/>
                </w:tcPr>
                <w:p>
                  <w:pPr>
                    <w:widowControl/>
                    <w:spacing w:line="360" w:lineRule="auto"/>
                    <w:jc w:val="center"/>
                    <w:rPr>
                      <w:rFonts w:hint="default" w:ascii="Times New Roman" w:hAnsi="Times New Roman" w:eastAsia="宋体" w:cs="Times New Roman"/>
                      <w:sz w:val="18"/>
                      <w:szCs w:val="18"/>
                      <w:vertAlign w:val="baseline"/>
                      <w:lang w:val="en-US" w:eastAsia="zh-CN"/>
                    </w:rPr>
                  </w:pPr>
                  <w:r>
                    <w:rPr>
                      <w:rFonts w:hint="default" w:ascii="Times New Roman" w:hAnsi="Times New Roman" w:eastAsia="宋体" w:cs="Times New Roman"/>
                      <w:sz w:val="18"/>
                      <w:szCs w:val="18"/>
                      <w:vertAlign w:val="baseline"/>
                      <w:lang w:val="en-US" w:eastAsia="zh-CN"/>
                    </w:rPr>
                    <w:t>厂界</w:t>
                  </w:r>
                </w:p>
              </w:tc>
              <w:tc>
                <w:tcPr>
                  <w:tcW w:w="1000" w:type="pct"/>
                  <w:vAlign w:val="center"/>
                </w:tcPr>
                <w:p>
                  <w:pPr>
                    <w:widowControl/>
                    <w:spacing w:line="360" w:lineRule="auto"/>
                    <w:jc w:val="center"/>
                    <w:rPr>
                      <w:rFonts w:hint="default" w:ascii="Times New Roman" w:hAnsi="Times New Roman" w:eastAsia="宋体" w:cs="Times New Roman"/>
                      <w:sz w:val="18"/>
                      <w:szCs w:val="18"/>
                      <w:vertAlign w:val="baseline"/>
                      <w:lang w:val="en-US" w:eastAsia="zh-CN"/>
                    </w:rPr>
                  </w:pPr>
                  <w:r>
                    <w:rPr>
                      <w:rFonts w:hint="default" w:ascii="Times New Roman" w:hAnsi="Times New Roman" w:eastAsia="宋体" w:cs="Times New Roman"/>
                      <w:sz w:val="18"/>
                      <w:szCs w:val="18"/>
                      <w:vertAlign w:val="baseline"/>
                      <w:lang w:val="en-US" w:eastAsia="zh-CN"/>
                    </w:rPr>
                    <w:t>臭气浓度</w:t>
                  </w:r>
                </w:p>
              </w:tc>
              <w:tc>
                <w:tcPr>
                  <w:tcW w:w="1000" w:type="pct"/>
                  <w:vAlign w:val="center"/>
                </w:tcPr>
                <w:p>
                  <w:pPr>
                    <w:widowControl/>
                    <w:spacing w:line="360" w:lineRule="auto"/>
                    <w:jc w:val="center"/>
                    <w:rPr>
                      <w:rFonts w:hint="default" w:ascii="Times New Roman" w:hAnsi="Times New Roman" w:eastAsia="宋体" w:cs="Times New Roman"/>
                      <w:sz w:val="18"/>
                      <w:szCs w:val="18"/>
                      <w:vertAlign w:val="baseline"/>
                    </w:rPr>
                  </w:pPr>
                  <w:r>
                    <w:rPr>
                      <w:rFonts w:hint="default" w:ascii="Times New Roman" w:hAnsi="Times New Roman" w:eastAsia="宋体" w:cs="Times New Roman"/>
                      <w:bCs/>
                      <w:color w:val="auto"/>
                      <w:sz w:val="18"/>
                      <w:szCs w:val="18"/>
                    </w:rPr>
                    <w:t>每年监测一次</w:t>
                  </w:r>
                </w:p>
              </w:tc>
              <w:tc>
                <w:tcPr>
                  <w:tcW w:w="1000" w:type="pct"/>
                  <w:vAlign w:val="center"/>
                </w:tcPr>
                <w:p>
                  <w:pPr>
                    <w:widowControl/>
                    <w:spacing w:line="360" w:lineRule="auto"/>
                    <w:jc w:val="center"/>
                    <w:rPr>
                      <w:rFonts w:hint="default" w:ascii="Times New Roman" w:hAnsi="Times New Roman" w:eastAsia="宋体" w:cs="Times New Roman"/>
                      <w:sz w:val="18"/>
                      <w:szCs w:val="18"/>
                      <w:vertAlign w:val="baseline"/>
                    </w:rPr>
                  </w:pPr>
                  <w:r>
                    <w:rPr>
                      <w:rFonts w:hint="default" w:ascii="Times New Roman" w:hAnsi="Times New Roman" w:eastAsia="宋体" w:cs="Times New Roman"/>
                      <w:bCs/>
                      <w:color w:val="auto"/>
                      <w:sz w:val="18"/>
                      <w:szCs w:val="18"/>
                    </w:rPr>
                    <w:t>委托监测</w:t>
                  </w:r>
                </w:p>
              </w:tc>
            </w:tr>
          </w:tbl>
          <w:p>
            <w:pPr>
              <w:widowControl/>
              <w:shd w:val="clear" w:color="auto" w:fill="FFFFFF"/>
              <w:spacing w:line="360" w:lineRule="auto"/>
              <w:ind w:firstLine="420" w:firstLineChars="200"/>
              <w:jc w:val="left"/>
              <w:rPr>
                <w:rFonts w:hint="default"/>
              </w:rPr>
            </w:pPr>
          </w:p>
          <w:p>
            <w:pPr>
              <w:spacing w:line="360" w:lineRule="auto"/>
              <w:jc w:val="lef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2、废水</w:t>
            </w:r>
          </w:p>
          <w:p>
            <w:pPr>
              <w:spacing w:line="360" w:lineRule="auto"/>
              <w:ind w:firstLine="420" w:firstLineChars="2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建设项目废水主要为生活污水、</w:t>
            </w:r>
            <w:r>
              <w:rPr>
                <w:rFonts w:hint="default" w:ascii="Times New Roman" w:hAnsi="Times New Roman" w:eastAsia="宋体" w:cs="Times New Roman"/>
                <w:sz w:val="21"/>
                <w:szCs w:val="21"/>
                <w:lang w:val="en-US" w:eastAsia="zh-CN"/>
              </w:rPr>
              <w:t>洗浴</w:t>
            </w:r>
            <w:r>
              <w:rPr>
                <w:rFonts w:hint="default" w:ascii="Times New Roman" w:hAnsi="Times New Roman" w:eastAsia="宋体" w:cs="Times New Roman"/>
                <w:sz w:val="21"/>
                <w:szCs w:val="21"/>
              </w:rPr>
              <w:t>污水、</w:t>
            </w:r>
            <w:r>
              <w:rPr>
                <w:rFonts w:hint="default" w:ascii="Times New Roman" w:hAnsi="Times New Roman" w:eastAsia="宋体" w:cs="Times New Roman"/>
                <w:sz w:val="21"/>
                <w:szCs w:val="21"/>
                <w:lang w:val="en-US" w:eastAsia="zh-CN"/>
              </w:rPr>
              <w:t>医疗废水。</w:t>
            </w:r>
          </w:p>
          <w:p>
            <w:pPr>
              <w:widowControl/>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（1）废水源强分析</w:t>
            </w:r>
          </w:p>
          <w:p>
            <w:pPr>
              <w:adjustRightInd w:val="0"/>
              <w:snapToGrid w:val="0"/>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①生活污水</w:t>
            </w:r>
          </w:p>
          <w:p>
            <w:pPr>
              <w:widowControl/>
              <w:shd w:val="clear" w:color="auto" w:fill="FFFFFF"/>
              <w:spacing w:line="360" w:lineRule="auto"/>
              <w:ind w:firstLine="452" w:firstLineChars="200"/>
              <w:jc w:val="left"/>
              <w:rPr>
                <w:rFonts w:hint="default" w:ascii="Times New Roman" w:hAnsi="Times New Roman" w:eastAsia="宋体" w:cs="Times New Roman"/>
                <w:spacing w:val="8"/>
                <w:kern w:val="0"/>
                <w:sz w:val="21"/>
                <w:szCs w:val="21"/>
              </w:rPr>
            </w:pPr>
            <w:r>
              <w:rPr>
                <w:rFonts w:hint="default" w:ascii="Times New Roman" w:hAnsi="Times New Roman" w:eastAsia="宋体" w:cs="Times New Roman"/>
                <w:spacing w:val="8"/>
                <w:kern w:val="0"/>
                <w:sz w:val="21"/>
                <w:szCs w:val="21"/>
              </w:rPr>
              <w:t>本项目建成后，生活污水产生量为</w:t>
            </w:r>
            <w:r>
              <w:rPr>
                <w:rFonts w:hint="default" w:ascii="Times New Roman" w:hAnsi="Times New Roman" w:eastAsia="宋体" w:cs="Times New Roman"/>
                <w:sz w:val="21"/>
                <w:szCs w:val="21"/>
                <w:lang w:val="en-US" w:eastAsia="zh-CN"/>
              </w:rPr>
              <w:t>594</w:t>
            </w:r>
            <w:r>
              <w:rPr>
                <w:rFonts w:hint="default" w:ascii="Times New Roman" w:hAnsi="Times New Roman" w:eastAsia="宋体" w:cs="Times New Roman"/>
                <w:spacing w:val="8"/>
                <w:kern w:val="0"/>
                <w:sz w:val="21"/>
                <w:szCs w:val="21"/>
              </w:rPr>
              <w:t>m</w:t>
            </w:r>
            <w:r>
              <w:rPr>
                <w:rFonts w:hint="default" w:ascii="Times New Roman" w:hAnsi="Times New Roman" w:eastAsia="宋体" w:cs="Times New Roman"/>
                <w:spacing w:val="8"/>
                <w:kern w:val="0"/>
                <w:sz w:val="21"/>
                <w:szCs w:val="21"/>
                <w:vertAlign w:val="superscript"/>
              </w:rPr>
              <w:t>3</w:t>
            </w:r>
            <w:r>
              <w:rPr>
                <w:rFonts w:hint="default" w:ascii="Times New Roman" w:hAnsi="Times New Roman" w:eastAsia="宋体" w:cs="Times New Roman"/>
                <w:spacing w:val="8"/>
                <w:kern w:val="0"/>
                <w:sz w:val="21"/>
                <w:szCs w:val="21"/>
              </w:rPr>
              <w:t>/a，主要污染物为COD、SS、氨氮、TP等。本项目在城东污水处理厂收水范围内，生活污水纳入当地污水管网，进入城东污水处理厂处理。因此，项目生活污水不直接对外排放，不会对当地地表水环境产生不利影响。</w:t>
            </w:r>
          </w:p>
          <w:p>
            <w:pPr>
              <w:autoSpaceDE w:val="0"/>
              <w:autoSpaceDN w:val="0"/>
              <w:adjustRightInd w:val="0"/>
              <w:spacing w:line="360" w:lineRule="auto"/>
              <w:ind w:firstLine="420" w:firstLineChars="2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②</w:t>
            </w:r>
            <w:r>
              <w:rPr>
                <w:rFonts w:hint="default" w:ascii="Times New Roman" w:hAnsi="Times New Roman" w:eastAsia="宋体" w:cs="Times New Roman"/>
                <w:sz w:val="21"/>
                <w:szCs w:val="21"/>
                <w:lang w:val="en-US" w:eastAsia="zh-CN"/>
              </w:rPr>
              <w:t>洗浴污水</w:t>
            </w:r>
          </w:p>
          <w:p>
            <w:pPr>
              <w:widowControl/>
              <w:shd w:val="clear" w:color="auto" w:fill="FFFFFF"/>
              <w:spacing w:line="360" w:lineRule="auto"/>
              <w:ind w:firstLine="452" w:firstLineChars="200"/>
              <w:jc w:val="left"/>
              <w:rPr>
                <w:rFonts w:hint="default" w:ascii="Times New Roman" w:hAnsi="Times New Roman" w:eastAsia="宋体" w:cs="Times New Roman"/>
                <w:spacing w:val="8"/>
                <w:kern w:val="0"/>
                <w:sz w:val="21"/>
                <w:szCs w:val="21"/>
              </w:rPr>
            </w:pPr>
            <w:r>
              <w:rPr>
                <w:rFonts w:hint="default" w:ascii="Times New Roman" w:hAnsi="Times New Roman" w:eastAsia="宋体" w:cs="Times New Roman"/>
                <w:spacing w:val="8"/>
                <w:kern w:val="0"/>
                <w:sz w:val="21"/>
                <w:szCs w:val="21"/>
              </w:rPr>
              <w:t>本项目建成后，淋浴污水产生量为</w:t>
            </w:r>
            <w:r>
              <w:rPr>
                <w:rFonts w:hint="default" w:ascii="Times New Roman" w:hAnsi="Times New Roman" w:eastAsia="宋体" w:cs="Times New Roman"/>
                <w:spacing w:val="8"/>
                <w:kern w:val="0"/>
                <w:sz w:val="21"/>
                <w:szCs w:val="21"/>
                <w:lang w:val="en-US" w:eastAsia="zh-CN"/>
              </w:rPr>
              <w:t>140</w:t>
            </w:r>
            <w:r>
              <w:rPr>
                <w:rFonts w:hint="default" w:ascii="Times New Roman" w:hAnsi="Times New Roman" w:eastAsia="宋体" w:cs="Times New Roman"/>
                <w:spacing w:val="8"/>
                <w:kern w:val="0"/>
                <w:sz w:val="21"/>
                <w:szCs w:val="21"/>
              </w:rPr>
              <w:t>m</w:t>
            </w:r>
            <w:r>
              <w:rPr>
                <w:rFonts w:hint="default" w:ascii="Times New Roman" w:hAnsi="Times New Roman" w:eastAsia="宋体" w:cs="Times New Roman"/>
                <w:spacing w:val="8"/>
                <w:kern w:val="0"/>
                <w:sz w:val="21"/>
                <w:szCs w:val="21"/>
                <w:vertAlign w:val="superscript"/>
              </w:rPr>
              <w:t>3</w:t>
            </w:r>
            <w:r>
              <w:rPr>
                <w:rFonts w:hint="default" w:ascii="Times New Roman" w:hAnsi="Times New Roman" w:eastAsia="宋体" w:cs="Times New Roman"/>
                <w:spacing w:val="8"/>
                <w:kern w:val="0"/>
                <w:sz w:val="21"/>
                <w:szCs w:val="21"/>
              </w:rPr>
              <w:t>/a，主要污染物为 COD、SS、氨氮、TP等。本项目在城东污水处理厂收水范围内，</w:t>
            </w:r>
            <w:r>
              <w:rPr>
                <w:rFonts w:hint="default" w:ascii="Times New Roman" w:hAnsi="Times New Roman" w:eastAsia="宋体" w:cs="Times New Roman"/>
                <w:spacing w:val="8"/>
                <w:kern w:val="0"/>
                <w:sz w:val="21"/>
                <w:szCs w:val="21"/>
                <w:lang w:val="en-US" w:eastAsia="zh-CN"/>
              </w:rPr>
              <w:t>洗浴</w:t>
            </w:r>
            <w:r>
              <w:rPr>
                <w:rFonts w:hint="default" w:ascii="Times New Roman" w:hAnsi="Times New Roman" w:eastAsia="宋体" w:cs="Times New Roman"/>
                <w:spacing w:val="8"/>
                <w:kern w:val="0"/>
                <w:sz w:val="21"/>
                <w:szCs w:val="21"/>
              </w:rPr>
              <w:t>污水纳入当地污水管网，进入城东污水处理厂处理。因此，项目淋浴污水不直接对外排放，不会对当地地表水环境产生不利影响。</w:t>
            </w:r>
          </w:p>
          <w:p>
            <w:pPr>
              <w:autoSpaceDE w:val="0"/>
              <w:autoSpaceDN w:val="0"/>
              <w:adjustRightInd w:val="0"/>
              <w:spacing w:line="360" w:lineRule="auto"/>
              <w:ind w:firstLine="420" w:firstLineChars="2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③</w:t>
            </w:r>
            <w:r>
              <w:rPr>
                <w:rFonts w:hint="default" w:ascii="Times New Roman" w:hAnsi="Times New Roman" w:eastAsia="宋体" w:cs="Times New Roman"/>
                <w:sz w:val="21"/>
                <w:szCs w:val="21"/>
                <w:lang w:val="en-US" w:eastAsia="zh-CN"/>
              </w:rPr>
              <w:t>医疗废水</w:t>
            </w:r>
          </w:p>
          <w:p>
            <w:pPr>
              <w:widowControl/>
              <w:shd w:val="clear" w:color="auto" w:fill="FFFFFF"/>
              <w:spacing w:line="360" w:lineRule="auto"/>
              <w:ind w:firstLine="452" w:firstLineChars="200"/>
              <w:jc w:val="left"/>
              <w:rPr>
                <w:rFonts w:hint="default" w:ascii="Times New Roman" w:hAnsi="Times New Roman" w:eastAsia="宋体" w:cs="Times New Roman"/>
                <w:spacing w:val="8"/>
                <w:kern w:val="0"/>
                <w:sz w:val="21"/>
                <w:szCs w:val="21"/>
              </w:rPr>
            </w:pPr>
            <w:r>
              <w:rPr>
                <w:rFonts w:hint="default" w:ascii="Times New Roman" w:hAnsi="Times New Roman" w:eastAsia="宋体" w:cs="Times New Roman"/>
                <w:spacing w:val="8"/>
                <w:kern w:val="0"/>
                <w:sz w:val="21"/>
                <w:szCs w:val="21"/>
              </w:rPr>
              <w:t>根据《中华人民共和国水污染防治法》第三十六条规定：含病原体的污水，必须经过消毒处理，符合国家有关标准后，方可排放。同时按照国家计委、国务院环境保护委员会颁发 的《建设项目环境保护设计规定》等有关规定，要求污水处理设施与主体工程同时设计，同时施工，同时投入使用。</w:t>
            </w:r>
          </w:p>
          <w:p>
            <w:pPr>
              <w:widowControl/>
              <w:shd w:val="clear" w:color="auto" w:fill="FFFFFF"/>
              <w:spacing w:line="360" w:lineRule="auto"/>
              <w:ind w:firstLine="452" w:firstLineChars="200"/>
              <w:jc w:val="left"/>
              <w:rPr>
                <w:rFonts w:hint="default" w:ascii="Times New Roman" w:hAnsi="Times New Roman" w:eastAsia="宋体" w:cs="Times New Roman"/>
                <w:spacing w:val="8"/>
                <w:kern w:val="0"/>
                <w:sz w:val="21"/>
                <w:szCs w:val="21"/>
              </w:rPr>
            </w:pPr>
            <w:r>
              <w:rPr>
                <w:rFonts w:hint="default" w:ascii="Times New Roman" w:hAnsi="Times New Roman" w:eastAsia="宋体" w:cs="Times New Roman"/>
                <w:spacing w:val="8"/>
                <w:kern w:val="0"/>
                <w:sz w:val="21"/>
                <w:szCs w:val="21"/>
              </w:rPr>
              <w:t>本项目医疗废水主要为动物就诊、手术及清洗医疗器具时产生的废水，产生量</w:t>
            </w:r>
            <w:r>
              <w:rPr>
                <w:rFonts w:hint="default" w:ascii="Times New Roman" w:hAnsi="Times New Roman" w:eastAsia="宋体" w:cs="Times New Roman"/>
                <w:spacing w:val="8"/>
                <w:kern w:val="0"/>
                <w:sz w:val="21"/>
                <w:szCs w:val="21"/>
                <w:lang w:val="en-US" w:eastAsia="zh-CN"/>
              </w:rPr>
              <w:t>63.4</w:t>
            </w:r>
            <w:r>
              <w:rPr>
                <w:rFonts w:hint="default" w:ascii="Times New Roman" w:hAnsi="Times New Roman" w:eastAsia="宋体" w:cs="Times New Roman"/>
                <w:spacing w:val="8"/>
                <w:kern w:val="0"/>
                <w:sz w:val="21"/>
                <w:szCs w:val="21"/>
              </w:rPr>
              <w:t>m</w:t>
            </w:r>
            <w:r>
              <w:rPr>
                <w:rFonts w:hint="default" w:ascii="Times New Roman" w:hAnsi="Times New Roman" w:eastAsia="宋体" w:cs="Times New Roman"/>
                <w:spacing w:val="8"/>
                <w:kern w:val="0"/>
                <w:sz w:val="21"/>
                <w:szCs w:val="21"/>
                <w:vertAlign w:val="superscript"/>
              </w:rPr>
              <w:t>3</w:t>
            </w:r>
            <w:r>
              <w:rPr>
                <w:rFonts w:hint="default" w:ascii="Times New Roman" w:hAnsi="Times New Roman" w:eastAsia="宋体" w:cs="Times New Roman"/>
                <w:spacing w:val="8"/>
                <w:kern w:val="0"/>
                <w:sz w:val="21"/>
                <w:szCs w:val="21"/>
              </w:rPr>
              <w:t>/a。经</w:t>
            </w:r>
            <w:r>
              <w:rPr>
                <w:rFonts w:hint="default" w:ascii="Times New Roman" w:hAnsi="Times New Roman" w:eastAsia="宋体" w:cs="Times New Roman"/>
                <w:spacing w:val="8"/>
                <w:kern w:val="0"/>
                <w:sz w:val="21"/>
                <w:szCs w:val="21"/>
                <w:lang w:val="en-US" w:eastAsia="zh-CN"/>
              </w:rPr>
              <w:t>自行消毒</w:t>
            </w:r>
            <w:r>
              <w:rPr>
                <w:rFonts w:hint="default" w:ascii="Times New Roman" w:hAnsi="Times New Roman" w:eastAsia="宋体" w:cs="Times New Roman"/>
                <w:spacing w:val="8"/>
                <w:kern w:val="0"/>
                <w:sz w:val="21"/>
                <w:szCs w:val="21"/>
              </w:rPr>
              <w:t>处理达《医疗机构水污染物排放标准》表2 综合医疗机构和其他医疗机构水污染物排放限值（预处理标准）后，和生活污水一起经市政污水管网接入城东污水处理厂处理达《关于高质量推进城乡生活污水治理三年行动计划的实施意见》的通知（苏委办发</w:t>
            </w:r>
            <w:r>
              <w:rPr>
                <w:rFonts w:hint="default" w:ascii="Times New Roman" w:hAnsi="Times New Roman" w:eastAsia="宋体" w:cs="Times New Roman"/>
                <w:spacing w:val="8"/>
                <w:kern w:val="0"/>
                <w:sz w:val="21"/>
                <w:szCs w:val="21"/>
                <w:lang w:eastAsia="zh-CN"/>
              </w:rPr>
              <w:t>〔</w:t>
            </w:r>
            <w:r>
              <w:rPr>
                <w:rFonts w:hint="default" w:ascii="Times New Roman" w:hAnsi="Times New Roman" w:eastAsia="宋体" w:cs="Times New Roman"/>
                <w:spacing w:val="8"/>
                <w:kern w:val="0"/>
                <w:sz w:val="21"/>
                <w:szCs w:val="21"/>
              </w:rPr>
              <w:t>2018</w:t>
            </w:r>
            <w:r>
              <w:rPr>
                <w:rFonts w:hint="default" w:ascii="Times New Roman" w:hAnsi="Times New Roman" w:eastAsia="宋体" w:cs="Times New Roman"/>
                <w:spacing w:val="8"/>
                <w:kern w:val="0"/>
                <w:sz w:val="21"/>
                <w:szCs w:val="21"/>
                <w:lang w:eastAsia="zh-CN"/>
              </w:rPr>
              <w:t>〕</w:t>
            </w:r>
            <w:r>
              <w:rPr>
                <w:rFonts w:hint="default" w:ascii="Times New Roman" w:hAnsi="Times New Roman" w:eastAsia="宋体" w:cs="Times New Roman"/>
                <w:spacing w:val="8"/>
                <w:kern w:val="0"/>
                <w:sz w:val="21"/>
                <w:szCs w:val="21"/>
              </w:rPr>
              <w:t>77号）中苏州特别排放限值标准及《城镇污水处理厂污染物排放标准》（DB32/4440-2022）</w:t>
            </w:r>
            <w:r>
              <w:rPr>
                <w:rFonts w:hint="default" w:ascii="Times New Roman" w:hAnsi="Times New Roman" w:eastAsia="宋体" w:cs="Times New Roman"/>
                <w:spacing w:val="8"/>
                <w:kern w:val="0"/>
                <w:sz w:val="21"/>
                <w:szCs w:val="21"/>
                <w:lang w:eastAsia="zh-Hans"/>
              </w:rPr>
              <w:t>表1C级标准</w:t>
            </w:r>
            <w:r>
              <w:rPr>
                <w:rFonts w:hint="default" w:ascii="Times New Roman" w:hAnsi="Times New Roman" w:eastAsia="宋体" w:cs="Times New Roman"/>
                <w:spacing w:val="8"/>
                <w:kern w:val="0"/>
                <w:sz w:val="21"/>
                <w:szCs w:val="21"/>
              </w:rPr>
              <w:t>后排放，尾水排入新浏河。</w:t>
            </w:r>
          </w:p>
          <w:p>
            <w:pPr>
              <w:widowControl/>
              <w:shd w:val="clear" w:color="auto" w:fill="FFFFFF"/>
              <w:spacing w:line="360" w:lineRule="auto"/>
              <w:ind w:firstLine="452" w:firstLineChars="200"/>
              <w:jc w:val="left"/>
              <w:rPr>
                <w:rFonts w:hint="default" w:ascii="Times New Roman" w:hAnsi="Times New Roman" w:eastAsia="宋体" w:cs="Times New Roman"/>
                <w:spacing w:val="8"/>
                <w:kern w:val="0"/>
                <w:sz w:val="21"/>
                <w:szCs w:val="21"/>
              </w:rPr>
            </w:pPr>
            <w:r>
              <w:rPr>
                <w:rFonts w:hint="default" w:ascii="Times New Roman" w:hAnsi="Times New Roman" w:eastAsia="宋体" w:cs="Times New Roman"/>
                <w:spacing w:val="8"/>
                <w:kern w:val="0"/>
                <w:sz w:val="21"/>
                <w:szCs w:val="21"/>
              </w:rPr>
              <w:t>消毒剂采用强氯高效消毒剂，主要材料为次氯酸钙片和强氯晶片，溶解后水解为次氯酸钠，故有漂白杀菌作用。</w:t>
            </w:r>
          </w:p>
          <w:p>
            <w:pPr>
              <w:widowControl/>
              <w:shd w:val="clear" w:color="auto" w:fill="FFFFFF"/>
              <w:spacing w:line="360" w:lineRule="auto"/>
              <w:ind w:firstLine="452" w:firstLineChars="200"/>
              <w:jc w:val="left"/>
              <w:rPr>
                <w:rFonts w:hint="default" w:ascii="Times New Roman" w:hAnsi="Times New Roman" w:eastAsia="宋体" w:cs="Times New Roman"/>
                <w:spacing w:val="8"/>
                <w:kern w:val="0"/>
                <w:sz w:val="21"/>
                <w:szCs w:val="21"/>
              </w:rPr>
            </w:pPr>
            <w:r>
              <w:rPr>
                <w:rFonts w:hint="default" w:ascii="Times New Roman" w:hAnsi="Times New Roman" w:eastAsia="宋体" w:cs="Times New Roman"/>
                <w:spacing w:val="8"/>
                <w:kern w:val="0"/>
                <w:sz w:val="21"/>
                <w:szCs w:val="21"/>
              </w:rPr>
              <w:t>消毒对COD、SS无去除效率，对粪大肠菌群的去除效率为99.5%，出水总余氯增加约20%。医疗废水处理前后水质情况分析见下表。</w:t>
            </w:r>
          </w:p>
          <w:p>
            <w:pPr>
              <w:pStyle w:val="18"/>
              <w:ind w:right="195" w:rightChars="93" w:firstLine="1897" w:firstLineChars="90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表4-</w:t>
            </w:r>
            <w:r>
              <w:rPr>
                <w:rFonts w:hint="default" w:ascii="Times New Roman" w:hAnsi="Times New Roman" w:eastAsia="宋体" w:cs="Times New Roman"/>
                <w:b/>
                <w:sz w:val="21"/>
                <w:szCs w:val="21"/>
                <w:lang w:val="en-US" w:eastAsia="zh-CN"/>
              </w:rPr>
              <w:t>2</w:t>
            </w:r>
            <w:r>
              <w:rPr>
                <w:rFonts w:hint="default" w:ascii="Times New Roman" w:hAnsi="Times New Roman" w:eastAsia="宋体" w:cs="Times New Roman"/>
                <w:b/>
                <w:sz w:val="21"/>
                <w:szCs w:val="21"/>
              </w:rPr>
              <w:t>本项目医疗废水产排情况一览表</w:t>
            </w:r>
          </w:p>
          <w:tbl>
            <w:tblPr>
              <w:tblStyle w:val="36"/>
              <w:tblW w:w="0" w:type="auto"/>
              <w:tblInd w:w="2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76"/>
              <w:gridCol w:w="840"/>
              <w:gridCol w:w="984"/>
              <w:gridCol w:w="1270"/>
              <w:gridCol w:w="778"/>
              <w:gridCol w:w="1281"/>
              <w:gridCol w:w="990"/>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1" w:hRule="exact"/>
              </w:trPr>
              <w:tc>
                <w:tcPr>
                  <w:tcW w:w="1286" w:type="dxa"/>
                  <w:shd w:val="clear" w:color="auto" w:fill="auto"/>
                  <w:noWrap w:val="0"/>
                  <w:vAlign w:val="center"/>
                </w:tcPr>
                <w:p>
                  <w:pPr>
                    <w:pStyle w:val="132"/>
                    <w:spacing w:line="243" w:lineRule="exact"/>
                    <w:jc w:val="center"/>
                    <w:rPr>
                      <w:rFonts w:hint="default" w:ascii="Times New Roman" w:hAnsi="Times New Roman" w:eastAsia="宋体" w:cs="Times New Roman"/>
                      <w:b/>
                      <w:bCs/>
                      <w:sz w:val="18"/>
                      <w:szCs w:val="18"/>
                      <w:lang w:eastAsia="en-US"/>
                    </w:rPr>
                  </w:pPr>
                  <w:r>
                    <w:rPr>
                      <w:rFonts w:hint="default" w:ascii="Times New Roman" w:hAnsi="Times New Roman" w:eastAsia="宋体" w:cs="Times New Roman"/>
                      <w:b/>
                      <w:bCs/>
                      <w:sz w:val="18"/>
                      <w:szCs w:val="18"/>
                      <w:lang w:eastAsia="en-US"/>
                    </w:rPr>
                    <w:t>排放源</w:t>
                  </w:r>
                </w:p>
              </w:tc>
              <w:tc>
                <w:tcPr>
                  <w:tcW w:w="845" w:type="dxa"/>
                  <w:shd w:val="clear" w:color="auto" w:fill="auto"/>
                  <w:noWrap w:val="0"/>
                  <w:vAlign w:val="center"/>
                </w:tcPr>
                <w:p>
                  <w:pPr>
                    <w:pStyle w:val="132"/>
                    <w:spacing w:line="243" w:lineRule="exact"/>
                    <w:jc w:val="center"/>
                    <w:rPr>
                      <w:rFonts w:hint="default" w:ascii="Times New Roman" w:hAnsi="Times New Roman" w:eastAsia="宋体" w:cs="Times New Roman"/>
                      <w:b/>
                      <w:bCs/>
                      <w:sz w:val="18"/>
                      <w:szCs w:val="18"/>
                      <w:lang w:eastAsia="en-US"/>
                    </w:rPr>
                  </w:pPr>
                  <w:r>
                    <w:rPr>
                      <w:rFonts w:hint="default" w:ascii="Times New Roman" w:hAnsi="Times New Roman" w:eastAsia="宋体" w:cs="Times New Roman"/>
                      <w:b/>
                      <w:bCs/>
                      <w:sz w:val="18"/>
                      <w:szCs w:val="18"/>
                      <w:lang w:eastAsia="en-US"/>
                    </w:rPr>
                    <w:t>污染物</w:t>
                  </w:r>
                </w:p>
              </w:tc>
              <w:tc>
                <w:tcPr>
                  <w:tcW w:w="989" w:type="dxa"/>
                  <w:shd w:val="clear" w:color="auto" w:fill="auto"/>
                  <w:noWrap w:val="0"/>
                  <w:vAlign w:val="center"/>
                </w:tcPr>
                <w:p>
                  <w:pPr>
                    <w:pStyle w:val="132"/>
                    <w:spacing w:line="243" w:lineRule="exact"/>
                    <w:jc w:val="center"/>
                    <w:rPr>
                      <w:rFonts w:hint="default" w:ascii="Times New Roman" w:hAnsi="Times New Roman" w:eastAsia="宋体" w:cs="Times New Roman"/>
                      <w:b/>
                      <w:bCs/>
                      <w:sz w:val="18"/>
                      <w:szCs w:val="18"/>
                      <w:lang w:eastAsia="en-US"/>
                    </w:rPr>
                  </w:pPr>
                  <w:r>
                    <w:rPr>
                      <w:rFonts w:hint="default" w:ascii="Times New Roman" w:hAnsi="Times New Roman" w:eastAsia="宋体" w:cs="Times New Roman"/>
                      <w:b/>
                      <w:bCs/>
                      <w:sz w:val="18"/>
                      <w:szCs w:val="18"/>
                      <w:lang w:eastAsia="en-US"/>
                    </w:rPr>
                    <w:t>产生浓度</w:t>
                  </w:r>
                </w:p>
              </w:tc>
              <w:tc>
                <w:tcPr>
                  <w:tcW w:w="1270" w:type="dxa"/>
                  <w:shd w:val="clear" w:color="auto" w:fill="auto"/>
                  <w:noWrap w:val="0"/>
                  <w:vAlign w:val="center"/>
                </w:tcPr>
                <w:p>
                  <w:pPr>
                    <w:pStyle w:val="132"/>
                    <w:spacing w:line="243" w:lineRule="exact"/>
                    <w:jc w:val="center"/>
                    <w:rPr>
                      <w:rFonts w:hint="default" w:ascii="Times New Roman" w:hAnsi="Times New Roman" w:eastAsia="宋体" w:cs="Times New Roman"/>
                      <w:b/>
                      <w:bCs/>
                      <w:sz w:val="18"/>
                      <w:szCs w:val="18"/>
                      <w:lang w:eastAsia="en-US"/>
                    </w:rPr>
                  </w:pPr>
                  <w:r>
                    <w:rPr>
                      <w:rFonts w:hint="default" w:ascii="Times New Roman" w:hAnsi="Times New Roman" w:eastAsia="宋体" w:cs="Times New Roman"/>
                      <w:b/>
                      <w:bCs/>
                      <w:sz w:val="18"/>
                      <w:szCs w:val="18"/>
                      <w:lang w:eastAsia="en-US"/>
                    </w:rPr>
                    <w:t>产生量</w:t>
                  </w:r>
                </w:p>
              </w:tc>
              <w:tc>
                <w:tcPr>
                  <w:tcW w:w="785" w:type="dxa"/>
                  <w:shd w:val="clear" w:color="auto" w:fill="auto"/>
                  <w:noWrap w:val="0"/>
                  <w:vAlign w:val="center"/>
                </w:tcPr>
                <w:p>
                  <w:pPr>
                    <w:pStyle w:val="132"/>
                    <w:spacing w:line="243" w:lineRule="exact"/>
                    <w:jc w:val="center"/>
                    <w:rPr>
                      <w:rFonts w:hint="default" w:ascii="Times New Roman" w:hAnsi="Times New Roman" w:eastAsia="宋体" w:cs="Times New Roman"/>
                      <w:b/>
                      <w:bCs/>
                      <w:sz w:val="18"/>
                      <w:szCs w:val="18"/>
                      <w:lang w:eastAsia="en-US"/>
                    </w:rPr>
                  </w:pPr>
                  <w:r>
                    <w:rPr>
                      <w:rFonts w:hint="default" w:ascii="Times New Roman" w:hAnsi="Times New Roman" w:eastAsia="宋体" w:cs="Times New Roman"/>
                      <w:b/>
                      <w:bCs/>
                      <w:sz w:val="18"/>
                      <w:szCs w:val="18"/>
                      <w:lang w:eastAsia="en-US"/>
                    </w:rPr>
                    <w:t>处理方式</w:t>
                  </w:r>
                </w:p>
              </w:tc>
              <w:tc>
                <w:tcPr>
                  <w:tcW w:w="1289" w:type="dxa"/>
                  <w:shd w:val="clear" w:color="auto" w:fill="auto"/>
                  <w:noWrap w:val="0"/>
                  <w:vAlign w:val="center"/>
                </w:tcPr>
                <w:p>
                  <w:pPr>
                    <w:pStyle w:val="132"/>
                    <w:spacing w:line="243" w:lineRule="exact"/>
                    <w:jc w:val="center"/>
                    <w:rPr>
                      <w:rFonts w:hint="default" w:ascii="Times New Roman" w:hAnsi="Times New Roman" w:eastAsia="宋体" w:cs="Times New Roman"/>
                      <w:b/>
                      <w:bCs/>
                      <w:sz w:val="18"/>
                      <w:szCs w:val="18"/>
                      <w:lang w:eastAsia="en-US"/>
                    </w:rPr>
                  </w:pPr>
                  <w:r>
                    <w:rPr>
                      <w:rFonts w:hint="default" w:ascii="Times New Roman" w:hAnsi="Times New Roman" w:eastAsia="宋体" w:cs="Times New Roman"/>
                      <w:b/>
                      <w:bCs/>
                      <w:sz w:val="18"/>
                      <w:szCs w:val="18"/>
                      <w:lang w:eastAsia="en-US"/>
                    </w:rPr>
                    <w:t>去除效率（%）</w:t>
                  </w:r>
                </w:p>
              </w:tc>
              <w:tc>
                <w:tcPr>
                  <w:tcW w:w="955" w:type="dxa"/>
                  <w:shd w:val="clear" w:color="auto" w:fill="auto"/>
                  <w:noWrap w:val="0"/>
                  <w:vAlign w:val="center"/>
                </w:tcPr>
                <w:p>
                  <w:pPr>
                    <w:pStyle w:val="132"/>
                    <w:spacing w:line="243" w:lineRule="exact"/>
                    <w:jc w:val="center"/>
                    <w:rPr>
                      <w:rFonts w:hint="default" w:ascii="Times New Roman" w:hAnsi="Times New Roman" w:eastAsia="宋体" w:cs="Times New Roman"/>
                      <w:b/>
                      <w:bCs/>
                      <w:sz w:val="18"/>
                      <w:szCs w:val="18"/>
                      <w:lang w:eastAsia="en-US"/>
                    </w:rPr>
                  </w:pPr>
                  <w:r>
                    <w:rPr>
                      <w:rFonts w:hint="default" w:ascii="Times New Roman" w:hAnsi="Times New Roman" w:eastAsia="宋体" w:cs="Times New Roman"/>
                      <w:b/>
                      <w:bCs/>
                      <w:sz w:val="18"/>
                      <w:szCs w:val="18"/>
                      <w:lang w:eastAsia="en-US"/>
                    </w:rPr>
                    <w:t>排放浓度</w:t>
                  </w:r>
                </w:p>
              </w:tc>
              <w:tc>
                <w:tcPr>
                  <w:tcW w:w="1225" w:type="dxa"/>
                  <w:shd w:val="clear" w:color="auto" w:fill="auto"/>
                  <w:noWrap w:val="0"/>
                  <w:vAlign w:val="center"/>
                </w:tcPr>
                <w:p>
                  <w:pPr>
                    <w:pStyle w:val="132"/>
                    <w:spacing w:line="243" w:lineRule="exact"/>
                    <w:jc w:val="center"/>
                    <w:rPr>
                      <w:rFonts w:hint="default" w:ascii="Times New Roman" w:hAnsi="Times New Roman" w:eastAsia="宋体" w:cs="Times New Roman"/>
                      <w:b/>
                      <w:bCs/>
                      <w:sz w:val="18"/>
                      <w:szCs w:val="18"/>
                      <w:lang w:eastAsia="en-US"/>
                    </w:rPr>
                  </w:pPr>
                  <w:r>
                    <w:rPr>
                      <w:rFonts w:hint="default" w:ascii="Times New Roman" w:hAnsi="Times New Roman" w:eastAsia="宋体" w:cs="Times New Roman"/>
                      <w:b/>
                      <w:bCs/>
                      <w:sz w:val="18"/>
                      <w:szCs w:val="18"/>
                      <w:lang w:eastAsia="en-US"/>
                    </w:rPr>
                    <w:t>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exact"/>
              </w:trPr>
              <w:tc>
                <w:tcPr>
                  <w:tcW w:w="1286" w:type="dxa"/>
                  <w:vMerge w:val="restart"/>
                  <w:shd w:val="clear" w:color="auto" w:fill="auto"/>
                  <w:noWrap w:val="0"/>
                  <w:vAlign w:val="center"/>
                </w:tcPr>
                <w:p>
                  <w:pPr>
                    <w:pStyle w:val="132"/>
                    <w:jc w:val="center"/>
                    <w:rPr>
                      <w:rFonts w:hint="default" w:ascii="Times New Roman" w:hAnsi="Times New Roman" w:eastAsia="宋体" w:cs="Times New Roman"/>
                      <w:sz w:val="18"/>
                      <w:szCs w:val="18"/>
                      <w:lang w:eastAsia="en-US"/>
                    </w:rPr>
                  </w:pPr>
                  <w:r>
                    <w:rPr>
                      <w:rFonts w:hint="default" w:ascii="Times New Roman" w:hAnsi="Times New Roman" w:eastAsia="宋体" w:cs="Times New Roman"/>
                      <w:color w:val="auto"/>
                      <w:kern w:val="2"/>
                      <w:sz w:val="18"/>
                      <w:szCs w:val="18"/>
                      <w:lang w:val="en-US" w:eastAsia="en-US" w:bidi="ar-SA"/>
                    </w:rPr>
                    <w:t>医疗废水</w:t>
                  </w:r>
                  <w:r>
                    <w:rPr>
                      <w:rFonts w:hint="default" w:ascii="Times New Roman" w:hAnsi="Times New Roman" w:eastAsia="宋体" w:cs="Times New Roman"/>
                      <w:color w:val="auto"/>
                      <w:kern w:val="2"/>
                      <w:sz w:val="18"/>
                      <w:szCs w:val="18"/>
                      <w:lang w:val="en-US" w:eastAsia="zh-CN" w:bidi="ar-SA"/>
                    </w:rPr>
                    <w:t>63.4</w:t>
                  </w:r>
                  <w:r>
                    <w:rPr>
                      <w:rFonts w:hint="default" w:ascii="Times New Roman" w:hAnsi="Times New Roman" w:eastAsia="宋体" w:cs="Times New Roman"/>
                      <w:color w:val="auto"/>
                      <w:kern w:val="2"/>
                      <w:sz w:val="18"/>
                      <w:szCs w:val="18"/>
                      <w:lang w:val="en-US" w:eastAsia="en-US" w:bidi="ar-SA"/>
                    </w:rPr>
                    <w:t>t/a</w:t>
                  </w:r>
                </w:p>
              </w:tc>
              <w:tc>
                <w:tcPr>
                  <w:tcW w:w="84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pH</w:t>
                  </w:r>
                </w:p>
              </w:tc>
              <w:tc>
                <w:tcPr>
                  <w:tcW w:w="98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6~9</w:t>
                  </w:r>
                </w:p>
              </w:tc>
              <w:tc>
                <w:tcPr>
                  <w:tcW w:w="127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w:t>
                  </w:r>
                </w:p>
              </w:tc>
              <w:tc>
                <w:tcPr>
                  <w:tcW w:w="785"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消毒处理</w:t>
                  </w:r>
                </w:p>
              </w:tc>
              <w:tc>
                <w:tcPr>
                  <w:tcW w:w="128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9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6~9</w:t>
                  </w:r>
                </w:p>
              </w:tc>
              <w:tc>
                <w:tcPr>
                  <w:tcW w:w="122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exact"/>
              </w:trPr>
              <w:tc>
                <w:tcPr>
                  <w:tcW w:w="1286" w:type="dxa"/>
                  <w:vMerge w:val="continue"/>
                  <w:shd w:val="clear" w:color="auto" w:fill="auto"/>
                  <w:noWrap w:val="0"/>
                  <w:vAlign w:val="center"/>
                </w:tcPr>
                <w:p>
                  <w:pPr>
                    <w:jc w:val="center"/>
                    <w:rPr>
                      <w:rFonts w:hint="default" w:ascii="Times New Roman" w:hAnsi="Times New Roman" w:eastAsia="宋体" w:cs="Times New Roman"/>
                      <w:sz w:val="18"/>
                      <w:szCs w:val="18"/>
                      <w:lang w:eastAsia="en-US"/>
                    </w:rPr>
                  </w:pPr>
                </w:p>
              </w:tc>
              <w:tc>
                <w:tcPr>
                  <w:tcW w:w="84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COD</w:t>
                  </w:r>
                </w:p>
              </w:tc>
              <w:tc>
                <w:tcPr>
                  <w:tcW w:w="98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250 mg/L</w:t>
                  </w:r>
                </w:p>
              </w:tc>
              <w:tc>
                <w:tcPr>
                  <w:tcW w:w="127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0.</w:t>
                  </w:r>
                  <w:r>
                    <w:rPr>
                      <w:rFonts w:hint="default" w:ascii="Times New Roman" w:hAnsi="Times New Roman" w:eastAsia="宋体" w:cs="Times New Roman"/>
                      <w:color w:val="auto"/>
                      <w:sz w:val="18"/>
                      <w:szCs w:val="18"/>
                      <w:lang w:val="en-US" w:eastAsia="zh-CN"/>
                    </w:rPr>
                    <w:t>01585</w:t>
                  </w:r>
                  <w:r>
                    <w:rPr>
                      <w:rFonts w:hint="default" w:ascii="Times New Roman" w:hAnsi="Times New Roman" w:eastAsia="宋体" w:cs="Times New Roman"/>
                      <w:color w:val="auto"/>
                      <w:sz w:val="18"/>
                      <w:szCs w:val="18"/>
                      <w:lang w:val="en-US" w:eastAsia="en-US"/>
                    </w:rPr>
                    <w:t>t/a</w:t>
                  </w:r>
                </w:p>
              </w:tc>
              <w:tc>
                <w:tcPr>
                  <w:tcW w:w="785" w:type="dxa"/>
                  <w:vMerge w:val="continue"/>
                  <w:shd w:val="clear" w:color="auto" w:fill="auto"/>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p>
              </w:tc>
              <w:tc>
                <w:tcPr>
                  <w:tcW w:w="128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9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250 mg/L</w:t>
                  </w:r>
                </w:p>
              </w:tc>
              <w:tc>
                <w:tcPr>
                  <w:tcW w:w="122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0.</w:t>
                  </w:r>
                  <w:r>
                    <w:rPr>
                      <w:rFonts w:hint="default" w:ascii="Times New Roman" w:hAnsi="Times New Roman" w:eastAsia="宋体" w:cs="Times New Roman"/>
                      <w:color w:val="auto"/>
                      <w:sz w:val="18"/>
                      <w:szCs w:val="18"/>
                      <w:lang w:val="en-US" w:eastAsia="zh-CN"/>
                    </w:rPr>
                    <w:t>01585</w:t>
                  </w:r>
                  <w:r>
                    <w:rPr>
                      <w:rFonts w:hint="default" w:ascii="Times New Roman" w:hAnsi="Times New Roman" w:eastAsia="宋体" w:cs="Times New Roman"/>
                      <w:color w:val="auto"/>
                      <w:sz w:val="18"/>
                      <w:szCs w:val="18"/>
                      <w:lang w:val="en-US" w:eastAsia="en-US"/>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exact"/>
              </w:trPr>
              <w:tc>
                <w:tcPr>
                  <w:tcW w:w="1286" w:type="dxa"/>
                  <w:vMerge w:val="continue"/>
                  <w:shd w:val="clear" w:color="auto" w:fill="auto"/>
                  <w:noWrap w:val="0"/>
                  <w:vAlign w:val="center"/>
                </w:tcPr>
                <w:p>
                  <w:pPr>
                    <w:jc w:val="center"/>
                    <w:rPr>
                      <w:rFonts w:hint="default" w:ascii="Times New Roman" w:hAnsi="Times New Roman" w:eastAsia="宋体" w:cs="Times New Roman"/>
                      <w:sz w:val="18"/>
                      <w:szCs w:val="18"/>
                      <w:lang w:eastAsia="en-US"/>
                    </w:rPr>
                  </w:pPr>
                </w:p>
              </w:tc>
              <w:tc>
                <w:tcPr>
                  <w:tcW w:w="84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SS</w:t>
                  </w:r>
                </w:p>
              </w:tc>
              <w:tc>
                <w:tcPr>
                  <w:tcW w:w="98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60 mg/L</w:t>
                  </w:r>
                </w:p>
              </w:tc>
              <w:tc>
                <w:tcPr>
                  <w:tcW w:w="127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0.00</w:t>
                  </w:r>
                  <w:r>
                    <w:rPr>
                      <w:rFonts w:hint="default" w:ascii="Times New Roman" w:hAnsi="Times New Roman" w:eastAsia="宋体" w:cs="Times New Roman"/>
                      <w:color w:val="auto"/>
                      <w:sz w:val="18"/>
                      <w:szCs w:val="18"/>
                      <w:lang w:val="en-US" w:eastAsia="zh-CN"/>
                    </w:rPr>
                    <w:t>38</w:t>
                  </w:r>
                  <w:r>
                    <w:rPr>
                      <w:rFonts w:hint="default" w:ascii="Times New Roman" w:hAnsi="Times New Roman" w:eastAsia="宋体" w:cs="Times New Roman"/>
                      <w:color w:val="auto"/>
                      <w:sz w:val="18"/>
                      <w:szCs w:val="18"/>
                      <w:lang w:val="en-US" w:eastAsia="en-US"/>
                    </w:rPr>
                    <w:t>t/a</w:t>
                  </w:r>
                </w:p>
              </w:tc>
              <w:tc>
                <w:tcPr>
                  <w:tcW w:w="785" w:type="dxa"/>
                  <w:vMerge w:val="continue"/>
                  <w:shd w:val="clear" w:color="auto" w:fill="auto"/>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p>
              </w:tc>
              <w:tc>
                <w:tcPr>
                  <w:tcW w:w="128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9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60 mg/L</w:t>
                  </w:r>
                </w:p>
              </w:tc>
              <w:tc>
                <w:tcPr>
                  <w:tcW w:w="122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0.00</w:t>
                  </w:r>
                  <w:r>
                    <w:rPr>
                      <w:rFonts w:hint="default" w:ascii="Times New Roman" w:hAnsi="Times New Roman" w:eastAsia="宋体" w:cs="Times New Roman"/>
                      <w:color w:val="auto"/>
                      <w:sz w:val="18"/>
                      <w:szCs w:val="18"/>
                      <w:lang w:val="en-US" w:eastAsia="zh-CN"/>
                    </w:rPr>
                    <w:t>38</w:t>
                  </w:r>
                  <w:r>
                    <w:rPr>
                      <w:rFonts w:hint="default" w:ascii="Times New Roman" w:hAnsi="Times New Roman" w:eastAsia="宋体" w:cs="Times New Roman"/>
                      <w:color w:val="auto"/>
                      <w:sz w:val="18"/>
                      <w:szCs w:val="18"/>
                      <w:lang w:val="en-US" w:eastAsia="en-US"/>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trPr>
              <w:tc>
                <w:tcPr>
                  <w:tcW w:w="1286" w:type="dxa"/>
                  <w:vMerge w:val="continue"/>
                  <w:shd w:val="clear" w:color="auto" w:fill="auto"/>
                  <w:noWrap w:val="0"/>
                  <w:vAlign w:val="center"/>
                </w:tcPr>
                <w:p>
                  <w:pPr>
                    <w:jc w:val="center"/>
                    <w:rPr>
                      <w:rFonts w:hint="default" w:ascii="Times New Roman" w:hAnsi="Times New Roman" w:eastAsia="宋体" w:cs="Times New Roman"/>
                      <w:sz w:val="18"/>
                      <w:szCs w:val="18"/>
                      <w:lang w:eastAsia="en-US"/>
                    </w:rPr>
                  </w:pPr>
                </w:p>
              </w:tc>
              <w:tc>
                <w:tcPr>
                  <w:tcW w:w="84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粪大肠菌群</w:t>
                  </w:r>
                </w:p>
              </w:tc>
              <w:tc>
                <w:tcPr>
                  <w:tcW w:w="98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zh-CN"/>
                    </w:rPr>
                    <w:t>5</w:t>
                  </w:r>
                  <w:r>
                    <w:rPr>
                      <w:rFonts w:hint="default" w:ascii="Times New Roman" w:hAnsi="Times New Roman" w:eastAsia="宋体" w:cs="Times New Roman"/>
                      <w:color w:val="auto"/>
                      <w:sz w:val="18"/>
                      <w:szCs w:val="18"/>
                      <w:lang w:val="en-US" w:eastAsia="en-US"/>
                    </w:rPr>
                    <w:t>×10</w:t>
                  </w:r>
                  <w:r>
                    <w:rPr>
                      <w:rFonts w:hint="default" w:ascii="Times New Roman" w:hAnsi="Times New Roman" w:eastAsia="宋体" w:cs="Times New Roman"/>
                      <w:color w:val="auto"/>
                      <w:sz w:val="18"/>
                      <w:szCs w:val="18"/>
                      <w:vertAlign w:val="superscript"/>
                      <w:lang w:val="en-US" w:eastAsia="zh-CN"/>
                    </w:rPr>
                    <w:t>5</w:t>
                  </w:r>
                  <w:r>
                    <w:rPr>
                      <w:rFonts w:hint="default" w:ascii="Times New Roman" w:hAnsi="Times New Roman" w:eastAsia="宋体" w:cs="Times New Roman"/>
                      <w:color w:val="auto"/>
                      <w:sz w:val="18"/>
                      <w:szCs w:val="18"/>
                      <w:lang w:val="en-US" w:eastAsia="en-US"/>
                    </w:rPr>
                    <w:t xml:space="preserve"> MPN/L</w:t>
                  </w:r>
                </w:p>
              </w:tc>
              <w:tc>
                <w:tcPr>
                  <w:tcW w:w="127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zh-CN"/>
                    </w:rPr>
                    <w:t>3.17</w:t>
                  </w:r>
                  <w:r>
                    <w:rPr>
                      <w:rFonts w:hint="default" w:ascii="Times New Roman" w:hAnsi="Times New Roman" w:eastAsia="宋体" w:cs="Times New Roman"/>
                      <w:color w:val="auto"/>
                      <w:sz w:val="18"/>
                      <w:szCs w:val="18"/>
                      <w:lang w:val="en-US" w:eastAsia="en-US"/>
                    </w:rPr>
                    <w:t>×10</w:t>
                  </w:r>
                  <w:r>
                    <w:rPr>
                      <w:rFonts w:hint="default" w:ascii="Times New Roman" w:hAnsi="Times New Roman" w:eastAsia="宋体" w:cs="Times New Roman"/>
                      <w:color w:val="auto"/>
                      <w:sz w:val="18"/>
                      <w:szCs w:val="18"/>
                      <w:vertAlign w:val="superscript"/>
                      <w:lang w:val="en-US" w:eastAsia="zh-CN"/>
                    </w:rPr>
                    <w:t>10</w:t>
                  </w:r>
                  <w:r>
                    <w:rPr>
                      <w:rFonts w:hint="default" w:ascii="Times New Roman" w:hAnsi="Times New Roman" w:eastAsia="宋体" w:cs="Times New Roman"/>
                      <w:color w:val="auto"/>
                      <w:sz w:val="18"/>
                      <w:szCs w:val="18"/>
                      <w:lang w:val="en-US" w:eastAsia="en-US"/>
                    </w:rPr>
                    <w:t>MPN/a</w:t>
                  </w:r>
                </w:p>
              </w:tc>
              <w:tc>
                <w:tcPr>
                  <w:tcW w:w="785" w:type="dxa"/>
                  <w:vMerge w:val="continue"/>
                  <w:shd w:val="clear" w:color="auto" w:fill="auto"/>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p>
              </w:tc>
              <w:tc>
                <w:tcPr>
                  <w:tcW w:w="128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99.5</w:t>
                  </w:r>
                </w:p>
              </w:tc>
              <w:tc>
                <w:tcPr>
                  <w:tcW w:w="9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5×10</w:t>
                  </w:r>
                  <w:r>
                    <w:rPr>
                      <w:rFonts w:hint="default" w:ascii="Times New Roman" w:hAnsi="Times New Roman" w:eastAsia="宋体" w:cs="Times New Roman"/>
                      <w:color w:val="auto"/>
                      <w:sz w:val="18"/>
                      <w:szCs w:val="18"/>
                      <w:vertAlign w:val="superscript"/>
                      <w:lang w:val="en-US" w:eastAsia="en-US"/>
                    </w:rPr>
                    <w:t>3</w:t>
                  </w:r>
                  <w:r>
                    <w:rPr>
                      <w:rFonts w:hint="default" w:ascii="Times New Roman" w:hAnsi="Times New Roman" w:eastAsia="宋体" w:cs="Times New Roman"/>
                      <w:color w:val="auto"/>
                      <w:sz w:val="18"/>
                      <w:szCs w:val="18"/>
                      <w:lang w:val="en-US" w:eastAsia="en-US"/>
                    </w:rPr>
                    <w:t>MPN/L</w:t>
                  </w:r>
                </w:p>
              </w:tc>
              <w:tc>
                <w:tcPr>
                  <w:tcW w:w="122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zh-CN"/>
                    </w:rPr>
                    <w:t>3.17</w:t>
                  </w:r>
                  <w:r>
                    <w:rPr>
                      <w:rFonts w:hint="default" w:ascii="Times New Roman" w:hAnsi="Times New Roman" w:eastAsia="宋体" w:cs="Times New Roman"/>
                      <w:color w:val="auto"/>
                      <w:sz w:val="18"/>
                      <w:szCs w:val="18"/>
                      <w:lang w:val="en-US" w:eastAsia="en-US"/>
                    </w:rPr>
                    <w:t>×10</w:t>
                  </w:r>
                  <w:r>
                    <w:rPr>
                      <w:rFonts w:hint="default" w:ascii="Times New Roman" w:hAnsi="Times New Roman" w:eastAsia="宋体" w:cs="Times New Roman"/>
                      <w:color w:val="auto"/>
                      <w:sz w:val="18"/>
                      <w:szCs w:val="18"/>
                      <w:vertAlign w:val="superscript"/>
                      <w:lang w:val="en-US" w:eastAsia="en-US"/>
                    </w:rPr>
                    <w:t>8</w:t>
                  </w:r>
                  <w:r>
                    <w:rPr>
                      <w:rFonts w:hint="default" w:ascii="Times New Roman" w:hAnsi="Times New Roman" w:eastAsia="宋体" w:cs="Times New Roman"/>
                      <w:color w:val="auto"/>
                      <w:sz w:val="18"/>
                      <w:szCs w:val="18"/>
                      <w:lang w:val="en-US" w:eastAsia="en-US"/>
                    </w:rPr>
                    <w:t>MPN/a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286" w:type="dxa"/>
                  <w:vMerge w:val="continue"/>
                  <w:shd w:val="clear" w:color="auto" w:fill="auto"/>
                  <w:noWrap w:val="0"/>
                  <w:vAlign w:val="center"/>
                </w:tcPr>
                <w:p>
                  <w:pPr>
                    <w:jc w:val="center"/>
                    <w:rPr>
                      <w:rFonts w:hint="default" w:ascii="Times New Roman" w:hAnsi="Times New Roman" w:eastAsia="宋体" w:cs="Times New Roman"/>
                      <w:sz w:val="18"/>
                      <w:szCs w:val="18"/>
                      <w:lang w:eastAsia="en-US"/>
                    </w:rPr>
                  </w:pPr>
                </w:p>
              </w:tc>
              <w:tc>
                <w:tcPr>
                  <w:tcW w:w="84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LAS</w:t>
                  </w:r>
                </w:p>
              </w:tc>
              <w:tc>
                <w:tcPr>
                  <w:tcW w:w="98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 xml:space="preserve">10 </w:t>
                  </w:r>
                  <w:r>
                    <w:rPr>
                      <w:rFonts w:hint="default" w:ascii="Times New Roman" w:hAnsi="Times New Roman" w:eastAsia="宋体" w:cs="Times New Roman"/>
                      <w:color w:val="auto"/>
                      <w:sz w:val="18"/>
                      <w:szCs w:val="18"/>
                      <w:lang w:val="en-US" w:eastAsia="en-US"/>
                    </w:rPr>
                    <w:t>mg/L</w:t>
                  </w:r>
                </w:p>
              </w:tc>
              <w:tc>
                <w:tcPr>
                  <w:tcW w:w="127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0.000634</w:t>
                  </w:r>
                  <w:r>
                    <w:rPr>
                      <w:rFonts w:hint="default" w:ascii="Times New Roman" w:hAnsi="Times New Roman" w:eastAsia="宋体" w:cs="Times New Roman"/>
                      <w:color w:val="auto"/>
                      <w:sz w:val="18"/>
                      <w:szCs w:val="18"/>
                      <w:lang w:val="en-US" w:eastAsia="en-US"/>
                    </w:rPr>
                    <w:t>t/a</w:t>
                  </w:r>
                </w:p>
              </w:tc>
              <w:tc>
                <w:tcPr>
                  <w:tcW w:w="785" w:type="dxa"/>
                  <w:vMerge w:val="continue"/>
                  <w:shd w:val="clear" w:color="auto" w:fill="auto"/>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p>
              </w:tc>
              <w:tc>
                <w:tcPr>
                  <w:tcW w:w="128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9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 xml:space="preserve">10 </w:t>
                  </w:r>
                  <w:r>
                    <w:rPr>
                      <w:rFonts w:hint="default" w:ascii="Times New Roman" w:hAnsi="Times New Roman" w:eastAsia="宋体" w:cs="Times New Roman"/>
                      <w:color w:val="auto"/>
                      <w:sz w:val="18"/>
                      <w:szCs w:val="18"/>
                      <w:lang w:val="en-US" w:eastAsia="en-US"/>
                    </w:rPr>
                    <w:t>mg/L</w:t>
                  </w:r>
                </w:p>
              </w:tc>
              <w:tc>
                <w:tcPr>
                  <w:tcW w:w="122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zh-CN"/>
                    </w:rPr>
                    <w:t>0.000634</w:t>
                  </w:r>
                  <w:r>
                    <w:rPr>
                      <w:rFonts w:hint="default" w:ascii="Times New Roman" w:hAnsi="Times New Roman" w:eastAsia="宋体" w:cs="Times New Roman"/>
                      <w:color w:val="auto"/>
                      <w:sz w:val="18"/>
                      <w:szCs w:val="18"/>
                      <w:lang w:val="en-US" w:eastAsia="en-US"/>
                    </w:rPr>
                    <w:t>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trPr>
              <w:tc>
                <w:tcPr>
                  <w:tcW w:w="1286" w:type="dxa"/>
                  <w:vMerge w:val="continue"/>
                  <w:shd w:val="clear" w:color="auto" w:fill="auto"/>
                  <w:noWrap w:val="0"/>
                  <w:vAlign w:val="center"/>
                </w:tcPr>
                <w:p>
                  <w:pPr>
                    <w:jc w:val="center"/>
                    <w:rPr>
                      <w:rFonts w:hint="default" w:ascii="Times New Roman" w:hAnsi="Times New Roman" w:eastAsia="宋体" w:cs="Times New Roman"/>
                      <w:sz w:val="18"/>
                      <w:szCs w:val="18"/>
                      <w:lang w:eastAsia="en-US"/>
                    </w:rPr>
                  </w:pPr>
                </w:p>
              </w:tc>
              <w:tc>
                <w:tcPr>
                  <w:tcW w:w="84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r>
                    <w:rPr>
                      <w:rFonts w:hint="default" w:ascii="Times New Roman" w:hAnsi="Times New Roman" w:eastAsia="宋体" w:cs="Times New Roman"/>
                      <w:color w:val="auto"/>
                      <w:sz w:val="18"/>
                      <w:szCs w:val="18"/>
                      <w:lang w:val="en-US" w:eastAsia="en-US"/>
                    </w:rPr>
                    <w:t>总余氯</w:t>
                  </w:r>
                </w:p>
              </w:tc>
              <w:tc>
                <w:tcPr>
                  <w:tcW w:w="98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5</w:t>
                  </w:r>
                  <w:r>
                    <w:rPr>
                      <w:rFonts w:hint="default" w:ascii="Times New Roman" w:hAnsi="Times New Roman" w:eastAsia="宋体" w:cs="Times New Roman"/>
                      <w:color w:val="auto"/>
                      <w:sz w:val="18"/>
                      <w:szCs w:val="18"/>
                      <w:lang w:val="en-US" w:eastAsia="en-US"/>
                    </w:rPr>
                    <w:t xml:space="preserve"> mg/L</w:t>
                  </w:r>
                </w:p>
              </w:tc>
              <w:tc>
                <w:tcPr>
                  <w:tcW w:w="1270"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0.000317</w:t>
                  </w:r>
                  <w:r>
                    <w:rPr>
                      <w:rFonts w:hint="default" w:ascii="Times New Roman" w:hAnsi="Times New Roman" w:eastAsia="宋体" w:cs="Times New Roman"/>
                      <w:color w:val="auto"/>
                      <w:sz w:val="18"/>
                      <w:szCs w:val="18"/>
                      <w:lang w:val="en-US" w:eastAsia="en-US"/>
                    </w:rPr>
                    <w:t>t/a</w:t>
                  </w:r>
                </w:p>
              </w:tc>
              <w:tc>
                <w:tcPr>
                  <w:tcW w:w="785" w:type="dxa"/>
                  <w:vMerge w:val="continue"/>
                  <w:shd w:val="clear" w:color="auto" w:fill="auto"/>
                  <w:noWrap w:val="0"/>
                  <w:vAlign w:val="top"/>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en-US"/>
                    </w:rPr>
                  </w:pPr>
                </w:p>
              </w:tc>
              <w:tc>
                <w:tcPr>
                  <w:tcW w:w="1289"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95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5</w:t>
                  </w:r>
                  <w:r>
                    <w:rPr>
                      <w:rFonts w:hint="default" w:ascii="Times New Roman" w:hAnsi="Times New Roman" w:eastAsia="宋体" w:cs="Times New Roman"/>
                      <w:color w:val="auto"/>
                      <w:sz w:val="18"/>
                      <w:szCs w:val="18"/>
                      <w:lang w:val="en-US" w:eastAsia="en-US"/>
                    </w:rPr>
                    <w:t xml:space="preserve"> mg/L</w:t>
                  </w:r>
                </w:p>
              </w:tc>
              <w:tc>
                <w:tcPr>
                  <w:tcW w:w="1225" w:type="dxa"/>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0.000317</w:t>
                  </w:r>
                  <w:r>
                    <w:rPr>
                      <w:rFonts w:hint="default" w:ascii="Times New Roman" w:hAnsi="Times New Roman" w:eastAsia="宋体" w:cs="Times New Roman"/>
                      <w:color w:val="auto"/>
                      <w:sz w:val="18"/>
                      <w:szCs w:val="18"/>
                      <w:lang w:val="en-US" w:eastAsia="en-US"/>
                    </w:rPr>
                    <w:t>t/a</w:t>
                  </w:r>
                </w:p>
              </w:tc>
            </w:tr>
          </w:tbl>
          <w:p>
            <w:pPr>
              <w:wordWrap w:val="0"/>
              <w:spacing w:line="360" w:lineRule="auto"/>
              <w:rPr>
                <w:rFonts w:hint="default" w:ascii="Times New Roman" w:hAnsi="Times New Roman" w:cs="Times New Roman"/>
                <w:sz w:val="21"/>
                <w:szCs w:val="21"/>
              </w:rPr>
            </w:pPr>
          </w:p>
          <w:p>
            <w:pPr>
              <w:adjustRightInd w:val="0"/>
              <w:snapToGrid w:val="0"/>
              <w:spacing w:line="360" w:lineRule="auto"/>
              <w:ind w:firstLine="420" w:firstLineChars="200"/>
              <w:rPr>
                <w:rFonts w:hint="default" w:ascii="Times New Roman" w:hAnsi="Times New Roman" w:eastAsia="宋体" w:cs="Times New Roman"/>
                <w:b/>
                <w:bCs/>
                <w:sz w:val="21"/>
                <w:szCs w:val="21"/>
                <w:lang w:eastAsia="zh-CN"/>
              </w:rPr>
            </w:pPr>
            <w:r>
              <w:rPr>
                <w:rFonts w:hint="default" w:ascii="Times New Roman" w:hAnsi="Times New Roman" w:cs="Times New Roman"/>
                <w:sz w:val="21"/>
                <w:szCs w:val="21"/>
              </w:rPr>
              <w:t>本项目废水产生和排放情况见表4-</w:t>
            </w:r>
            <w:r>
              <w:rPr>
                <w:rFonts w:hint="default" w:ascii="Times New Roman" w:hAnsi="Times New Roman" w:cs="Times New Roman"/>
                <w:sz w:val="21"/>
                <w:szCs w:val="21"/>
                <w:lang w:val="en-US" w:eastAsia="zh-CN"/>
              </w:rPr>
              <w:t>3</w:t>
            </w:r>
            <w:r>
              <w:rPr>
                <w:rFonts w:hint="default" w:ascii="Times New Roman" w:hAnsi="Times New Roman" w:cs="Times New Roman"/>
                <w:sz w:val="21"/>
                <w:szCs w:val="21"/>
                <w:lang w:eastAsia="zh-CN"/>
              </w:rPr>
              <w:t>。</w:t>
            </w:r>
          </w:p>
          <w:p>
            <w:pPr>
              <w:tabs>
                <w:tab w:val="left" w:pos="960"/>
              </w:tabs>
              <w:ind w:firstLine="2741" w:firstLineChars="1300"/>
              <w:jc w:val="both"/>
              <w:rPr>
                <w:rFonts w:hint="default" w:ascii="Times New Roman" w:hAnsi="Times New Roman" w:cs="Times New Roman"/>
                <w:b/>
                <w:bCs/>
                <w:sz w:val="21"/>
                <w:szCs w:val="21"/>
              </w:rPr>
            </w:pPr>
            <w:r>
              <w:rPr>
                <w:rFonts w:hint="default" w:ascii="Times New Roman" w:hAnsi="Times New Roman" w:cs="Times New Roman"/>
                <w:b/>
                <w:bCs/>
                <w:sz w:val="21"/>
                <w:szCs w:val="21"/>
              </w:rPr>
              <w:t>表4-</w:t>
            </w:r>
            <w:r>
              <w:rPr>
                <w:rFonts w:hint="default" w:ascii="Times New Roman" w:hAnsi="Times New Roman" w:cs="Times New Roman"/>
                <w:b/>
                <w:bCs/>
                <w:sz w:val="21"/>
                <w:szCs w:val="21"/>
                <w:lang w:val="en-US" w:eastAsia="zh-CN"/>
              </w:rPr>
              <w:t>3</w:t>
            </w:r>
            <w:r>
              <w:rPr>
                <w:rFonts w:hint="default" w:ascii="Times New Roman" w:hAnsi="Times New Roman" w:cs="Times New Roman"/>
                <w:b/>
                <w:bCs/>
                <w:sz w:val="21"/>
                <w:szCs w:val="21"/>
              </w:rPr>
              <w:t>本项目废水污染物产排情况一览表</w:t>
            </w:r>
          </w:p>
          <w:tbl>
            <w:tblPr>
              <w:tblStyle w:val="3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4"/>
              <w:gridCol w:w="770"/>
              <w:gridCol w:w="632"/>
              <w:gridCol w:w="767"/>
              <w:gridCol w:w="1470"/>
              <w:gridCol w:w="515"/>
              <w:gridCol w:w="763"/>
              <w:gridCol w:w="1196"/>
              <w:gridCol w:w="1429"/>
              <w:gridCol w:w="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361" w:type="pct"/>
                  <w:vMerge w:val="restart"/>
                  <w:vAlign w:val="center"/>
                </w:tcPr>
                <w:p>
                  <w:pPr>
                    <w:widowControl/>
                    <w:jc w:val="center"/>
                    <w:rPr>
                      <w:rFonts w:hint="default" w:ascii="Times New Roman" w:hAnsi="Times New Roman" w:eastAsia="宋体" w:cs="Times New Roman"/>
                      <w:b/>
                      <w:color w:val="auto"/>
                      <w:spacing w:val="8"/>
                      <w:kern w:val="0"/>
                      <w:sz w:val="18"/>
                      <w:szCs w:val="18"/>
                    </w:rPr>
                  </w:pPr>
                  <w:r>
                    <w:rPr>
                      <w:rFonts w:hint="default" w:ascii="Times New Roman" w:hAnsi="Times New Roman" w:eastAsia="宋体" w:cs="Times New Roman"/>
                      <w:b/>
                      <w:color w:val="auto"/>
                      <w:spacing w:val="8"/>
                      <w:kern w:val="0"/>
                      <w:sz w:val="18"/>
                      <w:szCs w:val="18"/>
                    </w:rPr>
                    <w:t>污染源</w:t>
                  </w:r>
                </w:p>
              </w:tc>
              <w:tc>
                <w:tcPr>
                  <w:tcW w:w="438" w:type="pct"/>
                  <w:vMerge w:val="restart"/>
                  <w:vAlign w:val="center"/>
                </w:tcPr>
                <w:p>
                  <w:pPr>
                    <w:widowControl/>
                    <w:jc w:val="center"/>
                    <w:rPr>
                      <w:rFonts w:hint="default" w:ascii="Times New Roman" w:hAnsi="Times New Roman" w:eastAsia="宋体" w:cs="Times New Roman"/>
                      <w:b/>
                      <w:color w:val="auto"/>
                      <w:spacing w:val="8"/>
                      <w:kern w:val="0"/>
                      <w:sz w:val="18"/>
                      <w:szCs w:val="18"/>
                    </w:rPr>
                  </w:pPr>
                  <w:r>
                    <w:rPr>
                      <w:rFonts w:hint="default" w:ascii="Times New Roman" w:hAnsi="Times New Roman" w:eastAsia="宋体" w:cs="Times New Roman"/>
                      <w:b/>
                      <w:color w:val="auto"/>
                      <w:spacing w:val="8"/>
                      <w:kern w:val="0"/>
                      <w:sz w:val="18"/>
                      <w:szCs w:val="18"/>
                    </w:rPr>
                    <w:t>废水量t/a</w:t>
                  </w:r>
                </w:p>
              </w:tc>
              <w:tc>
                <w:tcPr>
                  <w:tcW w:w="360" w:type="pct"/>
                  <w:vMerge w:val="restart"/>
                  <w:vAlign w:val="center"/>
                </w:tcPr>
                <w:p>
                  <w:pPr>
                    <w:widowControl/>
                    <w:jc w:val="center"/>
                    <w:rPr>
                      <w:rFonts w:hint="default" w:ascii="Times New Roman" w:hAnsi="Times New Roman" w:eastAsia="宋体" w:cs="Times New Roman"/>
                      <w:b/>
                      <w:color w:val="auto"/>
                      <w:spacing w:val="8"/>
                      <w:kern w:val="0"/>
                      <w:sz w:val="18"/>
                      <w:szCs w:val="18"/>
                    </w:rPr>
                  </w:pPr>
                  <w:r>
                    <w:rPr>
                      <w:rFonts w:hint="default" w:ascii="Times New Roman" w:hAnsi="Times New Roman" w:eastAsia="宋体" w:cs="Times New Roman"/>
                      <w:b/>
                      <w:color w:val="auto"/>
                      <w:spacing w:val="8"/>
                      <w:kern w:val="0"/>
                      <w:sz w:val="18"/>
                      <w:szCs w:val="18"/>
                    </w:rPr>
                    <w:t>污染物</w:t>
                  </w:r>
                </w:p>
              </w:tc>
              <w:tc>
                <w:tcPr>
                  <w:tcW w:w="1259" w:type="pct"/>
                  <w:gridSpan w:val="2"/>
                  <w:vAlign w:val="center"/>
                </w:tcPr>
                <w:p>
                  <w:pPr>
                    <w:widowControl/>
                    <w:jc w:val="center"/>
                    <w:rPr>
                      <w:rFonts w:hint="default" w:ascii="Times New Roman" w:hAnsi="Times New Roman" w:eastAsia="宋体" w:cs="Times New Roman"/>
                      <w:b/>
                      <w:color w:val="auto"/>
                      <w:spacing w:val="8"/>
                      <w:kern w:val="0"/>
                      <w:sz w:val="18"/>
                      <w:szCs w:val="18"/>
                    </w:rPr>
                  </w:pPr>
                  <w:r>
                    <w:rPr>
                      <w:rFonts w:hint="default" w:ascii="Times New Roman" w:hAnsi="Times New Roman" w:eastAsia="宋体" w:cs="Times New Roman"/>
                      <w:b/>
                      <w:color w:val="auto"/>
                      <w:spacing w:val="8"/>
                      <w:kern w:val="0"/>
                      <w:sz w:val="18"/>
                      <w:szCs w:val="18"/>
                    </w:rPr>
                    <w:t>产生情况</w:t>
                  </w:r>
                </w:p>
              </w:tc>
              <w:tc>
                <w:tcPr>
                  <w:tcW w:w="294" w:type="pct"/>
                  <w:vMerge w:val="restart"/>
                  <w:vAlign w:val="center"/>
                </w:tcPr>
                <w:p>
                  <w:pPr>
                    <w:widowControl/>
                    <w:jc w:val="center"/>
                    <w:rPr>
                      <w:rFonts w:hint="default" w:ascii="Times New Roman" w:hAnsi="Times New Roman" w:eastAsia="宋体" w:cs="Times New Roman"/>
                      <w:b/>
                      <w:color w:val="auto"/>
                      <w:spacing w:val="8"/>
                      <w:kern w:val="0"/>
                      <w:sz w:val="18"/>
                      <w:szCs w:val="18"/>
                    </w:rPr>
                  </w:pPr>
                  <w:r>
                    <w:rPr>
                      <w:rFonts w:hint="default" w:ascii="Times New Roman" w:hAnsi="Times New Roman" w:eastAsia="宋体" w:cs="Times New Roman"/>
                      <w:b/>
                      <w:color w:val="auto"/>
                      <w:spacing w:val="8"/>
                      <w:kern w:val="0"/>
                      <w:sz w:val="18"/>
                      <w:szCs w:val="18"/>
                    </w:rPr>
                    <w:t>预处理方式</w:t>
                  </w:r>
                </w:p>
              </w:tc>
              <w:tc>
                <w:tcPr>
                  <w:tcW w:w="1899" w:type="pct"/>
                  <w:gridSpan w:val="3"/>
                  <w:vAlign w:val="center"/>
                </w:tcPr>
                <w:p>
                  <w:pPr>
                    <w:widowControl/>
                    <w:jc w:val="center"/>
                    <w:rPr>
                      <w:rFonts w:hint="default" w:ascii="Times New Roman" w:hAnsi="Times New Roman" w:eastAsia="宋体" w:cs="Times New Roman"/>
                      <w:b/>
                      <w:color w:val="auto"/>
                      <w:spacing w:val="8"/>
                      <w:kern w:val="0"/>
                      <w:sz w:val="18"/>
                      <w:szCs w:val="18"/>
                    </w:rPr>
                  </w:pPr>
                  <w:r>
                    <w:rPr>
                      <w:rFonts w:hint="default" w:ascii="Times New Roman" w:hAnsi="Times New Roman" w:eastAsia="宋体" w:cs="Times New Roman"/>
                      <w:b/>
                      <w:color w:val="auto"/>
                      <w:spacing w:val="8"/>
                      <w:kern w:val="0"/>
                      <w:sz w:val="18"/>
                      <w:szCs w:val="18"/>
                    </w:rPr>
                    <w:t>排放情况</w:t>
                  </w:r>
                </w:p>
              </w:tc>
              <w:tc>
                <w:tcPr>
                  <w:tcW w:w="387" w:type="pct"/>
                  <w:vMerge w:val="restart"/>
                  <w:vAlign w:val="center"/>
                </w:tcPr>
                <w:p>
                  <w:pPr>
                    <w:widowControl/>
                    <w:jc w:val="center"/>
                    <w:rPr>
                      <w:rFonts w:hint="default" w:ascii="Times New Roman" w:hAnsi="Times New Roman" w:eastAsia="宋体" w:cs="Times New Roman"/>
                      <w:b/>
                      <w:color w:val="auto"/>
                      <w:spacing w:val="8"/>
                      <w:kern w:val="0"/>
                      <w:sz w:val="18"/>
                      <w:szCs w:val="18"/>
                    </w:rPr>
                  </w:pPr>
                  <w:r>
                    <w:rPr>
                      <w:rFonts w:hint="default" w:ascii="Times New Roman" w:hAnsi="Times New Roman" w:eastAsia="宋体" w:cs="Times New Roman"/>
                      <w:b/>
                      <w:color w:val="auto"/>
                      <w:spacing w:val="8"/>
                      <w:kern w:val="0"/>
                      <w:sz w:val="18"/>
                      <w:szCs w:val="18"/>
                    </w:rPr>
                    <w:t>排放方式及去向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61" w:type="pct"/>
                  <w:vMerge w:val="continue"/>
                  <w:vAlign w:val="center"/>
                </w:tcPr>
                <w:p>
                  <w:pPr>
                    <w:widowControl/>
                    <w:jc w:val="center"/>
                    <w:rPr>
                      <w:rFonts w:hint="default" w:ascii="Times New Roman" w:hAnsi="Times New Roman" w:eastAsia="宋体" w:cs="Times New Roman"/>
                      <w:b/>
                      <w:color w:val="auto"/>
                      <w:spacing w:val="8"/>
                      <w:kern w:val="0"/>
                      <w:sz w:val="18"/>
                      <w:szCs w:val="18"/>
                    </w:rPr>
                  </w:pPr>
                </w:p>
              </w:tc>
              <w:tc>
                <w:tcPr>
                  <w:tcW w:w="438" w:type="pct"/>
                  <w:vMerge w:val="continue"/>
                  <w:vAlign w:val="center"/>
                </w:tcPr>
                <w:p>
                  <w:pPr>
                    <w:widowControl/>
                    <w:jc w:val="center"/>
                    <w:rPr>
                      <w:rFonts w:hint="default" w:ascii="Times New Roman" w:hAnsi="Times New Roman" w:eastAsia="宋体" w:cs="Times New Roman"/>
                      <w:b/>
                      <w:color w:val="auto"/>
                      <w:spacing w:val="8"/>
                      <w:kern w:val="0"/>
                      <w:sz w:val="18"/>
                      <w:szCs w:val="18"/>
                    </w:rPr>
                  </w:pPr>
                </w:p>
              </w:tc>
              <w:tc>
                <w:tcPr>
                  <w:tcW w:w="360" w:type="pct"/>
                  <w:vMerge w:val="continue"/>
                  <w:vAlign w:val="center"/>
                </w:tcPr>
                <w:p>
                  <w:pPr>
                    <w:widowControl/>
                    <w:jc w:val="center"/>
                    <w:rPr>
                      <w:rFonts w:hint="default" w:ascii="Times New Roman" w:hAnsi="Times New Roman" w:eastAsia="宋体" w:cs="Times New Roman"/>
                      <w:b/>
                      <w:color w:val="auto"/>
                      <w:spacing w:val="8"/>
                      <w:kern w:val="0"/>
                      <w:sz w:val="18"/>
                      <w:szCs w:val="18"/>
                    </w:rPr>
                  </w:pPr>
                </w:p>
              </w:tc>
              <w:tc>
                <w:tcPr>
                  <w:tcW w:w="426" w:type="pct"/>
                  <w:vAlign w:val="center"/>
                </w:tcPr>
                <w:p>
                  <w:pPr>
                    <w:widowControl/>
                    <w:jc w:val="center"/>
                    <w:rPr>
                      <w:rFonts w:hint="default" w:ascii="Times New Roman" w:hAnsi="Times New Roman" w:eastAsia="宋体" w:cs="Times New Roman"/>
                      <w:b/>
                      <w:color w:val="auto"/>
                      <w:spacing w:val="8"/>
                      <w:kern w:val="0"/>
                      <w:sz w:val="18"/>
                      <w:szCs w:val="18"/>
                    </w:rPr>
                  </w:pPr>
                  <w:r>
                    <w:rPr>
                      <w:rFonts w:hint="default" w:ascii="Times New Roman" w:hAnsi="Times New Roman" w:eastAsia="宋体" w:cs="Times New Roman"/>
                      <w:b/>
                      <w:color w:val="auto"/>
                      <w:spacing w:val="8"/>
                      <w:kern w:val="0"/>
                      <w:sz w:val="18"/>
                      <w:szCs w:val="18"/>
                    </w:rPr>
                    <w:t>浓度mg/L</w:t>
                  </w:r>
                </w:p>
              </w:tc>
              <w:tc>
                <w:tcPr>
                  <w:tcW w:w="833" w:type="pct"/>
                  <w:vAlign w:val="center"/>
                </w:tcPr>
                <w:p>
                  <w:pPr>
                    <w:widowControl/>
                    <w:jc w:val="center"/>
                    <w:rPr>
                      <w:rFonts w:hint="default" w:ascii="Times New Roman" w:hAnsi="Times New Roman" w:eastAsia="宋体" w:cs="Times New Roman"/>
                      <w:b/>
                      <w:color w:val="auto"/>
                      <w:spacing w:val="8"/>
                      <w:kern w:val="0"/>
                      <w:sz w:val="18"/>
                      <w:szCs w:val="18"/>
                    </w:rPr>
                  </w:pPr>
                  <w:r>
                    <w:rPr>
                      <w:rFonts w:hint="default" w:ascii="Times New Roman" w:hAnsi="Times New Roman" w:eastAsia="宋体" w:cs="Times New Roman"/>
                      <w:b/>
                      <w:color w:val="auto"/>
                      <w:spacing w:val="8"/>
                      <w:kern w:val="0"/>
                      <w:sz w:val="18"/>
                      <w:szCs w:val="18"/>
                    </w:rPr>
                    <w:t>产生量t/a</w:t>
                  </w:r>
                </w:p>
              </w:tc>
              <w:tc>
                <w:tcPr>
                  <w:tcW w:w="294" w:type="pct"/>
                  <w:vMerge w:val="continue"/>
                  <w:vAlign w:val="center"/>
                </w:tcPr>
                <w:p>
                  <w:pPr>
                    <w:widowControl/>
                    <w:jc w:val="center"/>
                    <w:rPr>
                      <w:rFonts w:hint="default" w:ascii="Times New Roman" w:hAnsi="Times New Roman" w:eastAsia="宋体" w:cs="Times New Roman"/>
                      <w:b/>
                      <w:color w:val="auto"/>
                      <w:spacing w:val="8"/>
                      <w:kern w:val="0"/>
                      <w:sz w:val="18"/>
                      <w:szCs w:val="18"/>
                    </w:rPr>
                  </w:pPr>
                </w:p>
              </w:tc>
              <w:tc>
                <w:tcPr>
                  <w:tcW w:w="434" w:type="pct"/>
                  <w:vAlign w:val="center"/>
                </w:tcPr>
                <w:p>
                  <w:pPr>
                    <w:widowControl/>
                    <w:jc w:val="center"/>
                    <w:rPr>
                      <w:rFonts w:hint="default" w:ascii="Times New Roman" w:hAnsi="Times New Roman" w:eastAsia="宋体" w:cs="Times New Roman"/>
                      <w:b/>
                      <w:color w:val="auto"/>
                      <w:spacing w:val="8"/>
                      <w:kern w:val="0"/>
                      <w:sz w:val="18"/>
                      <w:szCs w:val="18"/>
                    </w:rPr>
                  </w:pPr>
                  <w:r>
                    <w:rPr>
                      <w:rFonts w:hint="default" w:ascii="Times New Roman" w:hAnsi="Times New Roman" w:eastAsia="宋体" w:cs="Times New Roman"/>
                      <w:b/>
                      <w:color w:val="auto"/>
                      <w:spacing w:val="8"/>
                      <w:kern w:val="0"/>
                      <w:sz w:val="18"/>
                      <w:szCs w:val="18"/>
                    </w:rPr>
                    <w:t>废水量t/a</w:t>
                  </w:r>
                </w:p>
              </w:tc>
              <w:tc>
                <w:tcPr>
                  <w:tcW w:w="655" w:type="pct"/>
                  <w:vAlign w:val="center"/>
                </w:tcPr>
                <w:p>
                  <w:pPr>
                    <w:widowControl/>
                    <w:jc w:val="center"/>
                    <w:rPr>
                      <w:rFonts w:hint="default" w:ascii="Times New Roman" w:hAnsi="Times New Roman" w:eastAsia="宋体" w:cs="Times New Roman"/>
                      <w:b/>
                      <w:color w:val="auto"/>
                      <w:spacing w:val="8"/>
                      <w:kern w:val="0"/>
                      <w:sz w:val="18"/>
                      <w:szCs w:val="18"/>
                    </w:rPr>
                  </w:pPr>
                  <w:r>
                    <w:rPr>
                      <w:rFonts w:hint="default" w:ascii="Times New Roman" w:hAnsi="Times New Roman" w:eastAsia="宋体" w:cs="Times New Roman"/>
                      <w:b/>
                      <w:color w:val="auto"/>
                      <w:spacing w:val="8"/>
                      <w:kern w:val="0"/>
                      <w:sz w:val="18"/>
                      <w:szCs w:val="18"/>
                    </w:rPr>
                    <w:t>浓度mg/L</w:t>
                  </w:r>
                </w:p>
              </w:tc>
              <w:tc>
                <w:tcPr>
                  <w:tcW w:w="808" w:type="pct"/>
                  <w:vAlign w:val="center"/>
                </w:tcPr>
                <w:p>
                  <w:pPr>
                    <w:widowControl/>
                    <w:jc w:val="center"/>
                    <w:rPr>
                      <w:rFonts w:hint="default" w:ascii="Times New Roman" w:hAnsi="Times New Roman" w:eastAsia="宋体" w:cs="Times New Roman"/>
                      <w:b/>
                      <w:color w:val="auto"/>
                      <w:spacing w:val="8"/>
                      <w:kern w:val="0"/>
                      <w:sz w:val="18"/>
                      <w:szCs w:val="18"/>
                    </w:rPr>
                  </w:pPr>
                  <w:r>
                    <w:rPr>
                      <w:rFonts w:hint="default" w:ascii="Times New Roman" w:hAnsi="Times New Roman" w:eastAsia="宋体" w:cs="Times New Roman"/>
                      <w:b/>
                      <w:color w:val="auto"/>
                      <w:spacing w:val="8"/>
                      <w:kern w:val="0"/>
                      <w:sz w:val="18"/>
                      <w:szCs w:val="18"/>
                    </w:rPr>
                    <w:t>排放量t/a</w:t>
                  </w:r>
                </w:p>
              </w:tc>
              <w:tc>
                <w:tcPr>
                  <w:tcW w:w="387" w:type="pct"/>
                  <w:vMerge w:val="continue"/>
                  <w:vAlign w:val="center"/>
                </w:tcPr>
                <w:p>
                  <w:pPr>
                    <w:widowControl/>
                    <w:jc w:val="center"/>
                    <w:rPr>
                      <w:rFonts w:hint="default" w:ascii="Times New Roman" w:hAnsi="Times New Roman" w:eastAsia="宋体" w:cs="Times New Roman"/>
                      <w:b/>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1" w:type="pct"/>
                  <w:vMerge w:val="restart"/>
                  <w:vAlign w:val="center"/>
                </w:tcPr>
                <w:p>
                  <w:pPr>
                    <w:widowControl/>
                    <w:jc w:val="center"/>
                    <w:rPr>
                      <w:rFonts w:hint="default" w:ascii="Times New Roman" w:hAnsi="Times New Roman" w:eastAsia="宋体" w:cs="Times New Roman"/>
                      <w:color w:val="auto"/>
                      <w:spacing w:val="8"/>
                      <w:kern w:val="0"/>
                      <w:sz w:val="18"/>
                      <w:szCs w:val="18"/>
                      <w:lang w:eastAsia="zh-CN"/>
                    </w:rPr>
                  </w:pPr>
                  <w:r>
                    <w:rPr>
                      <w:rFonts w:hint="default" w:ascii="Times New Roman" w:hAnsi="Times New Roman" w:eastAsia="宋体" w:cs="Times New Roman"/>
                      <w:color w:val="auto"/>
                      <w:spacing w:val="8"/>
                      <w:kern w:val="0"/>
                      <w:sz w:val="18"/>
                      <w:szCs w:val="18"/>
                      <w:lang w:val="en-US" w:eastAsia="zh-CN"/>
                    </w:rPr>
                    <w:t>生活污水</w:t>
                  </w:r>
                </w:p>
              </w:tc>
              <w:tc>
                <w:tcPr>
                  <w:tcW w:w="438" w:type="pct"/>
                  <w:vMerge w:val="restart"/>
                  <w:vAlign w:val="center"/>
                </w:tcPr>
                <w:p>
                  <w:pPr>
                    <w:widowControl/>
                    <w:jc w:val="center"/>
                    <w:rPr>
                      <w:rFonts w:hint="default" w:ascii="Times New Roman" w:hAnsi="Times New Roman" w:eastAsia="宋体" w:cs="Times New Roman"/>
                      <w:color w:val="auto"/>
                      <w:spacing w:val="8"/>
                      <w:kern w:val="0"/>
                      <w:sz w:val="18"/>
                      <w:szCs w:val="18"/>
                      <w:lang w:val="en-US" w:eastAsia="zh-CN"/>
                    </w:rPr>
                  </w:pPr>
                  <w:r>
                    <w:rPr>
                      <w:rFonts w:hint="default" w:ascii="Times New Roman" w:hAnsi="Times New Roman" w:eastAsia="宋体" w:cs="Times New Roman"/>
                      <w:color w:val="auto"/>
                      <w:sz w:val="18"/>
                      <w:szCs w:val="18"/>
                      <w:lang w:val="en-US" w:eastAsia="zh-CN"/>
                    </w:rPr>
                    <w:t>594</w:t>
                  </w: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pH</w:t>
                  </w:r>
                </w:p>
              </w:tc>
              <w:tc>
                <w:tcPr>
                  <w:tcW w:w="426"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en-US"/>
                    </w:rPr>
                    <w:t>6~9</w:t>
                  </w:r>
                </w:p>
              </w:tc>
              <w:tc>
                <w:tcPr>
                  <w:tcW w:w="833" w:type="pct"/>
                  <w:vAlign w:val="bottom"/>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t>
                  </w:r>
                </w:p>
              </w:tc>
              <w:tc>
                <w:tcPr>
                  <w:tcW w:w="294" w:type="pct"/>
                  <w:vMerge w:val="restart"/>
                  <w:vAlign w:val="center"/>
                </w:tcPr>
                <w:p>
                  <w:pPr>
                    <w:widowControl/>
                    <w:jc w:val="center"/>
                    <w:rPr>
                      <w:rFonts w:hint="default" w:ascii="Times New Roman" w:hAnsi="Times New Roman" w:eastAsia="宋体" w:cs="Times New Roman"/>
                      <w:color w:val="auto"/>
                      <w:spacing w:val="8"/>
                      <w:kern w:val="0"/>
                      <w:sz w:val="18"/>
                      <w:szCs w:val="18"/>
                      <w:lang w:val="en-US" w:eastAsia="zh-CN"/>
                    </w:rPr>
                  </w:pPr>
                  <w:r>
                    <w:rPr>
                      <w:rFonts w:hint="default" w:ascii="Times New Roman" w:hAnsi="Times New Roman" w:eastAsia="宋体" w:cs="Times New Roman"/>
                      <w:color w:val="auto"/>
                      <w:spacing w:val="8"/>
                      <w:kern w:val="0"/>
                      <w:sz w:val="18"/>
                      <w:szCs w:val="18"/>
                      <w:lang w:val="en-US" w:eastAsia="zh-CN"/>
                    </w:rPr>
                    <w:t>化粪池</w:t>
                  </w:r>
                </w:p>
              </w:tc>
              <w:tc>
                <w:tcPr>
                  <w:tcW w:w="434" w:type="pct"/>
                  <w:vMerge w:val="restart"/>
                  <w:vAlign w:val="center"/>
                </w:tcPr>
                <w:p>
                  <w:pPr>
                    <w:widowControl/>
                    <w:jc w:val="center"/>
                    <w:rPr>
                      <w:rFonts w:hint="default" w:ascii="Times New Roman" w:hAnsi="Times New Roman" w:eastAsia="宋体" w:cs="Times New Roman"/>
                      <w:color w:val="auto"/>
                      <w:spacing w:val="8"/>
                      <w:kern w:val="0"/>
                      <w:sz w:val="18"/>
                      <w:szCs w:val="18"/>
                    </w:rPr>
                  </w:pPr>
                  <w:r>
                    <w:rPr>
                      <w:rFonts w:hint="default" w:ascii="Times New Roman" w:hAnsi="Times New Roman" w:eastAsia="宋体" w:cs="Times New Roman"/>
                      <w:color w:val="auto"/>
                      <w:sz w:val="18"/>
                      <w:szCs w:val="18"/>
                      <w:lang w:val="en-US" w:eastAsia="zh-CN"/>
                    </w:rPr>
                    <w:t>594</w:t>
                  </w:r>
                </w:p>
              </w:tc>
              <w:tc>
                <w:tcPr>
                  <w:tcW w:w="655"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en-US"/>
                    </w:rPr>
                    <w:t>6~9</w:t>
                  </w:r>
                </w:p>
              </w:tc>
              <w:tc>
                <w:tcPr>
                  <w:tcW w:w="808" w:type="pct"/>
                  <w:vAlign w:val="bottom"/>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w:t>
                  </w:r>
                </w:p>
              </w:tc>
              <w:tc>
                <w:tcPr>
                  <w:tcW w:w="387" w:type="pct"/>
                  <w:vMerge w:val="restart"/>
                  <w:vAlign w:val="center"/>
                </w:tcPr>
                <w:p>
                  <w:pPr>
                    <w:keepNext w:val="0"/>
                    <w:keepLines w:val="0"/>
                    <w:pageBreakBefore w:val="0"/>
                    <w:widowControl/>
                    <w:kinsoku/>
                    <w:wordWrap w:val="0"/>
                    <w:overflowPunct/>
                    <w:topLinePunct w:val="0"/>
                    <w:autoSpaceDE/>
                    <w:autoSpaceDN/>
                    <w:bidi w:val="0"/>
                    <w:adjustRightInd/>
                    <w:snapToGrid/>
                    <w:textAlignment w:val="auto"/>
                    <w:rPr>
                      <w:rFonts w:hint="default" w:ascii="Times New Roman" w:hAnsi="Times New Roman" w:eastAsia="宋体" w:cs="Times New Roman"/>
                      <w:color w:val="auto"/>
                      <w:spacing w:val="8"/>
                      <w:kern w:val="0"/>
                      <w:sz w:val="18"/>
                      <w:szCs w:val="18"/>
                    </w:rPr>
                  </w:pPr>
                  <w:r>
                    <w:rPr>
                      <w:rFonts w:hint="default" w:ascii="Times New Roman" w:hAnsi="Times New Roman" w:eastAsia="宋体" w:cs="Times New Roman"/>
                      <w:color w:val="auto"/>
                      <w:sz w:val="18"/>
                      <w:szCs w:val="18"/>
                      <w:lang w:val="en-US" w:eastAsia="zh-CN"/>
                    </w:rPr>
                    <w:t>城东污水处理厂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COD</w:t>
                  </w:r>
                </w:p>
              </w:tc>
              <w:tc>
                <w:tcPr>
                  <w:tcW w:w="426"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400</w:t>
                  </w:r>
                </w:p>
              </w:tc>
              <w:tc>
                <w:tcPr>
                  <w:tcW w:w="1655"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0.2376</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340</w:t>
                  </w:r>
                </w:p>
              </w:tc>
              <w:tc>
                <w:tcPr>
                  <w:tcW w:w="1587"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0.20196</w:t>
                  </w:r>
                </w:p>
              </w:tc>
              <w:tc>
                <w:tcPr>
                  <w:tcW w:w="387" w:type="pct"/>
                  <w:vMerge w:val="continue"/>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SS</w:t>
                  </w:r>
                </w:p>
              </w:tc>
              <w:tc>
                <w:tcPr>
                  <w:tcW w:w="426"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200</w:t>
                  </w:r>
                </w:p>
              </w:tc>
              <w:tc>
                <w:tcPr>
                  <w:tcW w:w="1655"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0.1188</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140</w:t>
                  </w:r>
                </w:p>
              </w:tc>
              <w:tc>
                <w:tcPr>
                  <w:tcW w:w="1587"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0.08316</w:t>
                  </w:r>
                </w:p>
              </w:tc>
              <w:tc>
                <w:tcPr>
                  <w:tcW w:w="387" w:type="pct"/>
                  <w:vMerge w:val="continue"/>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氨氮</w:t>
                  </w:r>
                </w:p>
              </w:tc>
              <w:tc>
                <w:tcPr>
                  <w:tcW w:w="426"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25</w:t>
                  </w:r>
                </w:p>
              </w:tc>
              <w:tc>
                <w:tcPr>
                  <w:tcW w:w="1655"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0.01485</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25</w:t>
                  </w:r>
                </w:p>
              </w:tc>
              <w:tc>
                <w:tcPr>
                  <w:tcW w:w="1587"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0.01485</w:t>
                  </w:r>
                </w:p>
              </w:tc>
              <w:tc>
                <w:tcPr>
                  <w:tcW w:w="387" w:type="pct"/>
                  <w:vMerge w:val="continue"/>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总磷</w:t>
                  </w:r>
                </w:p>
              </w:tc>
              <w:tc>
                <w:tcPr>
                  <w:tcW w:w="426"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4</w:t>
                  </w:r>
                </w:p>
              </w:tc>
              <w:tc>
                <w:tcPr>
                  <w:tcW w:w="1655"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0.002376</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4</w:t>
                  </w:r>
                </w:p>
              </w:tc>
              <w:tc>
                <w:tcPr>
                  <w:tcW w:w="1587"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0.002376</w:t>
                  </w:r>
                </w:p>
              </w:tc>
              <w:tc>
                <w:tcPr>
                  <w:tcW w:w="387" w:type="pct"/>
                  <w:vMerge w:val="continue"/>
                  <w:vAlign w:val="center"/>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总氮</w:t>
                  </w:r>
                </w:p>
              </w:tc>
              <w:tc>
                <w:tcPr>
                  <w:tcW w:w="426"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40</w:t>
                  </w:r>
                </w:p>
              </w:tc>
              <w:tc>
                <w:tcPr>
                  <w:tcW w:w="1655"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0.02376</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40</w:t>
                  </w:r>
                </w:p>
              </w:tc>
              <w:tc>
                <w:tcPr>
                  <w:tcW w:w="1587"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0.02376</w:t>
                  </w:r>
                </w:p>
              </w:tc>
              <w:tc>
                <w:tcPr>
                  <w:tcW w:w="387" w:type="pct"/>
                  <w:vMerge w:val="continue"/>
                  <w:vAlign w:val="center"/>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61" w:type="pct"/>
                  <w:vMerge w:val="restart"/>
                  <w:vAlign w:val="center"/>
                </w:tcPr>
                <w:p>
                  <w:pPr>
                    <w:widowControl/>
                    <w:jc w:val="center"/>
                    <w:rPr>
                      <w:rFonts w:hint="default" w:ascii="Times New Roman" w:hAnsi="Times New Roman" w:eastAsia="宋体" w:cs="Times New Roman"/>
                      <w:color w:val="auto"/>
                      <w:spacing w:val="8"/>
                      <w:kern w:val="0"/>
                      <w:sz w:val="18"/>
                      <w:szCs w:val="18"/>
                      <w:lang w:val="en-US" w:eastAsia="zh-CN"/>
                    </w:rPr>
                  </w:pPr>
                  <w:r>
                    <w:rPr>
                      <w:rFonts w:hint="default" w:ascii="Times New Roman" w:hAnsi="Times New Roman" w:eastAsia="宋体" w:cs="Times New Roman"/>
                      <w:color w:val="auto"/>
                      <w:spacing w:val="8"/>
                      <w:kern w:val="0"/>
                      <w:sz w:val="18"/>
                      <w:szCs w:val="18"/>
                      <w:lang w:val="en-US" w:eastAsia="zh-CN"/>
                    </w:rPr>
                    <w:t>医疗废水</w:t>
                  </w:r>
                </w:p>
              </w:tc>
              <w:tc>
                <w:tcPr>
                  <w:tcW w:w="438" w:type="pct"/>
                  <w:vMerge w:val="restart"/>
                  <w:vAlign w:val="center"/>
                </w:tcPr>
                <w:p>
                  <w:pPr>
                    <w:widowControl/>
                    <w:jc w:val="center"/>
                    <w:rPr>
                      <w:rFonts w:hint="default" w:ascii="Times New Roman" w:hAnsi="Times New Roman" w:eastAsia="宋体" w:cs="Times New Roman"/>
                      <w:color w:val="auto"/>
                      <w:spacing w:val="8"/>
                      <w:kern w:val="0"/>
                      <w:sz w:val="18"/>
                      <w:szCs w:val="18"/>
                      <w:lang w:val="en-US" w:eastAsia="zh-CN"/>
                    </w:rPr>
                  </w:pPr>
                  <w:r>
                    <w:rPr>
                      <w:rFonts w:hint="default" w:ascii="Times New Roman" w:hAnsi="Times New Roman" w:eastAsia="宋体" w:cs="Times New Roman"/>
                      <w:color w:val="auto"/>
                      <w:spacing w:val="8"/>
                      <w:kern w:val="0"/>
                      <w:sz w:val="18"/>
                      <w:szCs w:val="18"/>
                      <w:lang w:val="en-US" w:eastAsia="zh-CN"/>
                    </w:rPr>
                    <w:t>63.4</w:t>
                  </w: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en-US"/>
                    </w:rPr>
                    <w:t>pH</w:t>
                  </w:r>
                </w:p>
              </w:tc>
              <w:tc>
                <w:tcPr>
                  <w:tcW w:w="426"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en-US"/>
                    </w:rPr>
                    <w:t>6~9</w:t>
                  </w:r>
                </w:p>
              </w:tc>
              <w:tc>
                <w:tcPr>
                  <w:tcW w:w="833"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t>
                  </w:r>
                </w:p>
              </w:tc>
              <w:tc>
                <w:tcPr>
                  <w:tcW w:w="294" w:type="pct"/>
                  <w:vMerge w:val="restart"/>
                  <w:vAlign w:val="center"/>
                </w:tcPr>
                <w:p>
                  <w:pPr>
                    <w:widowControl/>
                    <w:jc w:val="center"/>
                    <w:rPr>
                      <w:rFonts w:hint="default" w:ascii="Times New Roman" w:hAnsi="Times New Roman" w:eastAsia="宋体" w:cs="Times New Roman"/>
                      <w:color w:val="auto"/>
                      <w:spacing w:val="8"/>
                      <w:kern w:val="0"/>
                      <w:sz w:val="18"/>
                      <w:szCs w:val="18"/>
                      <w:lang w:val="en-US" w:eastAsia="zh-CN"/>
                    </w:rPr>
                  </w:pPr>
                  <w:r>
                    <w:rPr>
                      <w:rFonts w:hint="default" w:ascii="Times New Roman" w:hAnsi="Times New Roman" w:eastAsia="宋体" w:cs="Times New Roman"/>
                      <w:color w:val="auto"/>
                      <w:spacing w:val="8"/>
                      <w:kern w:val="0"/>
                      <w:sz w:val="18"/>
                      <w:szCs w:val="18"/>
                      <w:lang w:val="en-US" w:eastAsia="zh-CN"/>
                    </w:rPr>
                    <w:t>消毒预处理</w:t>
                  </w:r>
                </w:p>
              </w:tc>
              <w:tc>
                <w:tcPr>
                  <w:tcW w:w="434" w:type="pct"/>
                  <w:vMerge w:val="restart"/>
                  <w:vAlign w:val="center"/>
                </w:tcPr>
                <w:p>
                  <w:pPr>
                    <w:widowControl/>
                    <w:jc w:val="center"/>
                    <w:rPr>
                      <w:rFonts w:hint="default" w:ascii="Times New Roman" w:hAnsi="Times New Roman" w:eastAsia="宋体" w:cs="Times New Roman"/>
                      <w:color w:val="auto"/>
                      <w:spacing w:val="8"/>
                      <w:kern w:val="0"/>
                      <w:sz w:val="18"/>
                      <w:szCs w:val="18"/>
                    </w:rPr>
                  </w:pPr>
                  <w:r>
                    <w:rPr>
                      <w:rFonts w:hint="default" w:ascii="Times New Roman" w:hAnsi="Times New Roman" w:eastAsia="宋体" w:cs="Times New Roman"/>
                      <w:color w:val="auto"/>
                      <w:spacing w:val="8"/>
                      <w:kern w:val="0"/>
                      <w:sz w:val="18"/>
                      <w:szCs w:val="18"/>
                      <w:lang w:val="en-US" w:eastAsia="zh-CN"/>
                    </w:rPr>
                    <w:t>63.4</w:t>
                  </w:r>
                </w:p>
              </w:tc>
              <w:tc>
                <w:tcPr>
                  <w:tcW w:w="655" w:type="pct"/>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en-US"/>
                    </w:rPr>
                    <w:t>6~9</w:t>
                  </w:r>
                </w:p>
              </w:tc>
              <w:tc>
                <w:tcPr>
                  <w:tcW w:w="808" w:type="pct"/>
                  <w:vAlign w:val="bottom"/>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w:t>
                  </w:r>
                </w:p>
              </w:tc>
              <w:tc>
                <w:tcPr>
                  <w:tcW w:w="387" w:type="pct"/>
                  <w:vMerge w:val="continue"/>
                  <w:vAlign w:val="center"/>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en-US"/>
                    </w:rPr>
                    <w:t>COD</w:t>
                  </w:r>
                </w:p>
              </w:tc>
              <w:tc>
                <w:tcPr>
                  <w:tcW w:w="426"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en-US"/>
                    </w:rPr>
                    <w:t xml:space="preserve">250 </w:t>
                  </w:r>
                </w:p>
              </w:tc>
              <w:tc>
                <w:tcPr>
                  <w:tcW w:w="833"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0.01585</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250</w:t>
                  </w:r>
                </w:p>
              </w:tc>
              <w:tc>
                <w:tcPr>
                  <w:tcW w:w="808"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0.01585</w:t>
                  </w:r>
                </w:p>
              </w:tc>
              <w:tc>
                <w:tcPr>
                  <w:tcW w:w="387" w:type="pct"/>
                  <w:vMerge w:val="continue"/>
                  <w:vAlign w:val="center"/>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en-US"/>
                    </w:rPr>
                    <w:t>SS</w:t>
                  </w:r>
                </w:p>
              </w:tc>
              <w:tc>
                <w:tcPr>
                  <w:tcW w:w="426"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en-US"/>
                    </w:rPr>
                    <w:t xml:space="preserve">60 </w:t>
                  </w:r>
                </w:p>
              </w:tc>
              <w:tc>
                <w:tcPr>
                  <w:tcW w:w="833"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0.003804</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60</w:t>
                  </w:r>
                </w:p>
              </w:tc>
              <w:tc>
                <w:tcPr>
                  <w:tcW w:w="808"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0.003804</w:t>
                  </w:r>
                </w:p>
              </w:tc>
              <w:tc>
                <w:tcPr>
                  <w:tcW w:w="387" w:type="pct"/>
                  <w:vMerge w:val="continue"/>
                  <w:vAlign w:val="center"/>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en-US"/>
                    </w:rPr>
                    <w:t>粪大肠菌群</w:t>
                  </w:r>
                </w:p>
              </w:tc>
              <w:tc>
                <w:tcPr>
                  <w:tcW w:w="426"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en-US"/>
                    </w:rPr>
                    <w:t>1×10</w:t>
                  </w:r>
                  <w:r>
                    <w:rPr>
                      <w:rFonts w:hint="default" w:ascii="Times New Roman" w:hAnsi="Times New Roman" w:eastAsia="宋体" w:cs="Times New Roman"/>
                      <w:color w:val="auto"/>
                      <w:sz w:val="18"/>
                      <w:szCs w:val="18"/>
                      <w:vertAlign w:val="superscript"/>
                      <w:lang w:val="en-US" w:eastAsia="en-US"/>
                    </w:rPr>
                    <w:t>6</w:t>
                  </w:r>
                  <w:r>
                    <w:rPr>
                      <w:rFonts w:hint="default" w:ascii="Times New Roman" w:hAnsi="Times New Roman" w:eastAsia="宋体" w:cs="Times New Roman"/>
                      <w:color w:val="auto"/>
                      <w:sz w:val="18"/>
                      <w:szCs w:val="18"/>
                      <w:lang w:val="en-US" w:eastAsia="en-US"/>
                    </w:rPr>
                    <w:t xml:space="preserve"> MPN/L</w:t>
                  </w:r>
                </w:p>
              </w:tc>
              <w:tc>
                <w:tcPr>
                  <w:tcW w:w="833"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3.17</w:t>
                  </w:r>
                  <w:r>
                    <w:rPr>
                      <w:rFonts w:hint="default" w:ascii="Times New Roman" w:hAnsi="Times New Roman" w:eastAsia="宋体" w:cs="Times New Roman"/>
                      <w:color w:val="auto"/>
                      <w:sz w:val="18"/>
                      <w:szCs w:val="18"/>
                      <w:lang w:val="en-US" w:eastAsia="en-US"/>
                    </w:rPr>
                    <w:t>×10</w:t>
                  </w:r>
                  <w:r>
                    <w:rPr>
                      <w:rFonts w:hint="default" w:ascii="Times New Roman" w:hAnsi="Times New Roman" w:eastAsia="宋体" w:cs="Times New Roman"/>
                      <w:color w:val="auto"/>
                      <w:sz w:val="18"/>
                      <w:szCs w:val="18"/>
                      <w:vertAlign w:val="superscript"/>
                      <w:lang w:val="en-US" w:eastAsia="zh-CN"/>
                    </w:rPr>
                    <w:t>10</w:t>
                  </w:r>
                  <w:r>
                    <w:rPr>
                      <w:rFonts w:hint="default" w:ascii="Times New Roman" w:hAnsi="Times New Roman" w:eastAsia="宋体" w:cs="Times New Roman"/>
                      <w:color w:val="auto"/>
                      <w:sz w:val="18"/>
                      <w:szCs w:val="18"/>
                      <w:lang w:val="en-US" w:eastAsia="en-US"/>
                    </w:rPr>
                    <w:t>MPN/a</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en-US"/>
                    </w:rPr>
                    <w:t>5×10</w:t>
                  </w:r>
                  <w:r>
                    <w:rPr>
                      <w:rFonts w:hint="default" w:ascii="Times New Roman" w:hAnsi="Times New Roman" w:eastAsia="宋体" w:cs="Times New Roman"/>
                      <w:color w:val="auto"/>
                      <w:sz w:val="18"/>
                      <w:szCs w:val="18"/>
                      <w:vertAlign w:val="superscript"/>
                      <w:lang w:val="en-US" w:eastAsia="en-US"/>
                    </w:rPr>
                    <w:t>3</w:t>
                  </w:r>
                  <w:r>
                    <w:rPr>
                      <w:rFonts w:hint="default" w:ascii="Times New Roman" w:hAnsi="Times New Roman" w:eastAsia="宋体" w:cs="Times New Roman"/>
                      <w:color w:val="auto"/>
                      <w:sz w:val="18"/>
                      <w:szCs w:val="18"/>
                      <w:lang w:val="en-US" w:eastAsia="en-US"/>
                    </w:rPr>
                    <w:t>MPN/L</w:t>
                  </w:r>
                </w:p>
              </w:tc>
              <w:tc>
                <w:tcPr>
                  <w:tcW w:w="80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3.17</w:t>
                  </w:r>
                  <w:r>
                    <w:rPr>
                      <w:rFonts w:hint="default" w:ascii="Times New Roman" w:hAnsi="Times New Roman" w:eastAsia="宋体" w:cs="Times New Roman"/>
                      <w:color w:val="auto"/>
                      <w:sz w:val="18"/>
                      <w:szCs w:val="18"/>
                      <w:lang w:val="en-US" w:eastAsia="en-US"/>
                    </w:rPr>
                    <w:t>×10</w:t>
                  </w:r>
                  <w:r>
                    <w:rPr>
                      <w:rFonts w:hint="default" w:ascii="Times New Roman" w:hAnsi="Times New Roman" w:eastAsia="宋体" w:cs="Times New Roman"/>
                      <w:color w:val="auto"/>
                      <w:sz w:val="18"/>
                      <w:szCs w:val="18"/>
                      <w:vertAlign w:val="superscript"/>
                      <w:lang w:val="en-US" w:eastAsia="en-US"/>
                    </w:rPr>
                    <w:t>8</w:t>
                  </w:r>
                  <w:r>
                    <w:rPr>
                      <w:rFonts w:hint="default" w:ascii="Times New Roman" w:hAnsi="Times New Roman" w:eastAsia="宋体" w:cs="Times New Roman"/>
                      <w:color w:val="auto"/>
                      <w:sz w:val="18"/>
                      <w:szCs w:val="18"/>
                      <w:lang w:val="en-US" w:eastAsia="en-US"/>
                    </w:rPr>
                    <w:t>MPN/a</w:t>
                  </w:r>
                </w:p>
              </w:tc>
              <w:tc>
                <w:tcPr>
                  <w:tcW w:w="387" w:type="pct"/>
                  <w:vMerge w:val="continue"/>
                  <w:vAlign w:val="center"/>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LAS</w:t>
                  </w:r>
                </w:p>
              </w:tc>
              <w:tc>
                <w:tcPr>
                  <w:tcW w:w="426"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10</w:t>
                  </w:r>
                </w:p>
              </w:tc>
              <w:tc>
                <w:tcPr>
                  <w:tcW w:w="833"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0.000634</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10</w:t>
                  </w:r>
                </w:p>
              </w:tc>
              <w:tc>
                <w:tcPr>
                  <w:tcW w:w="80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0.000634</w:t>
                  </w:r>
                </w:p>
              </w:tc>
              <w:tc>
                <w:tcPr>
                  <w:tcW w:w="387" w:type="pct"/>
                  <w:vMerge w:val="continue"/>
                  <w:vAlign w:val="center"/>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en-US"/>
                    </w:rPr>
                    <w:t>总余氯</w:t>
                  </w:r>
                </w:p>
              </w:tc>
              <w:tc>
                <w:tcPr>
                  <w:tcW w:w="426"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5</w:t>
                  </w:r>
                </w:p>
              </w:tc>
              <w:tc>
                <w:tcPr>
                  <w:tcW w:w="833"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0.000317</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5</w:t>
                  </w:r>
                </w:p>
              </w:tc>
              <w:tc>
                <w:tcPr>
                  <w:tcW w:w="80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0.000317</w:t>
                  </w:r>
                </w:p>
              </w:tc>
              <w:tc>
                <w:tcPr>
                  <w:tcW w:w="387" w:type="pct"/>
                  <w:vMerge w:val="continue"/>
                  <w:vAlign w:val="center"/>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61" w:type="pct"/>
                  <w:vMerge w:val="restart"/>
                  <w:vAlign w:val="center"/>
                </w:tcPr>
                <w:p>
                  <w:pPr>
                    <w:widowControl/>
                    <w:jc w:val="center"/>
                    <w:rPr>
                      <w:rFonts w:hint="default" w:ascii="Times New Roman" w:hAnsi="Times New Roman" w:eastAsia="宋体" w:cs="Times New Roman"/>
                      <w:color w:val="auto"/>
                      <w:spacing w:val="8"/>
                      <w:kern w:val="0"/>
                      <w:sz w:val="18"/>
                      <w:szCs w:val="18"/>
                      <w:lang w:val="en-US" w:eastAsia="zh-CN"/>
                    </w:rPr>
                  </w:pPr>
                  <w:r>
                    <w:rPr>
                      <w:rFonts w:hint="default" w:ascii="Times New Roman" w:hAnsi="Times New Roman" w:eastAsia="宋体" w:cs="Times New Roman"/>
                      <w:color w:val="auto"/>
                      <w:spacing w:val="8"/>
                      <w:kern w:val="0"/>
                      <w:sz w:val="18"/>
                      <w:szCs w:val="18"/>
                      <w:lang w:val="en-US" w:eastAsia="zh-CN"/>
                    </w:rPr>
                    <w:t>洗浴污水</w:t>
                  </w:r>
                </w:p>
              </w:tc>
              <w:tc>
                <w:tcPr>
                  <w:tcW w:w="438" w:type="pct"/>
                  <w:vMerge w:val="restart"/>
                  <w:vAlign w:val="center"/>
                </w:tcPr>
                <w:p>
                  <w:pPr>
                    <w:widowControl/>
                    <w:jc w:val="center"/>
                    <w:rPr>
                      <w:rFonts w:hint="default" w:ascii="Times New Roman" w:hAnsi="Times New Roman" w:eastAsia="宋体" w:cs="Times New Roman"/>
                      <w:color w:val="auto"/>
                      <w:spacing w:val="8"/>
                      <w:kern w:val="0"/>
                      <w:sz w:val="18"/>
                      <w:szCs w:val="18"/>
                      <w:lang w:val="en-US" w:eastAsia="zh-CN"/>
                    </w:rPr>
                  </w:pPr>
                  <w:r>
                    <w:rPr>
                      <w:rFonts w:hint="default" w:ascii="Times New Roman" w:hAnsi="Times New Roman" w:eastAsia="宋体" w:cs="Times New Roman"/>
                      <w:color w:val="auto"/>
                      <w:spacing w:val="8"/>
                      <w:kern w:val="0"/>
                      <w:sz w:val="18"/>
                      <w:szCs w:val="18"/>
                      <w:lang w:val="en-US" w:eastAsia="zh-CN"/>
                    </w:rPr>
                    <w:t>140</w:t>
                  </w: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pH</w:t>
                  </w:r>
                </w:p>
              </w:tc>
              <w:tc>
                <w:tcPr>
                  <w:tcW w:w="426"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en-US"/>
                    </w:rPr>
                    <w:t>6~9</w:t>
                  </w:r>
                </w:p>
              </w:tc>
              <w:tc>
                <w:tcPr>
                  <w:tcW w:w="833"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t>
                  </w:r>
                </w:p>
              </w:tc>
              <w:tc>
                <w:tcPr>
                  <w:tcW w:w="294" w:type="pct"/>
                  <w:vMerge w:val="restart"/>
                  <w:vAlign w:val="center"/>
                </w:tcPr>
                <w:p>
                  <w:pPr>
                    <w:widowControl/>
                    <w:jc w:val="center"/>
                    <w:rPr>
                      <w:rFonts w:hint="default" w:ascii="Times New Roman" w:hAnsi="Times New Roman" w:eastAsia="宋体" w:cs="Times New Roman"/>
                      <w:color w:val="auto"/>
                      <w:spacing w:val="8"/>
                      <w:kern w:val="0"/>
                      <w:sz w:val="18"/>
                      <w:szCs w:val="18"/>
                      <w:lang w:val="en-US" w:eastAsia="zh-CN"/>
                    </w:rPr>
                  </w:pPr>
                  <w:r>
                    <w:rPr>
                      <w:rFonts w:hint="default" w:ascii="Times New Roman" w:hAnsi="Times New Roman" w:eastAsia="宋体" w:cs="Times New Roman"/>
                      <w:color w:val="auto"/>
                      <w:spacing w:val="8"/>
                      <w:kern w:val="0"/>
                      <w:sz w:val="18"/>
                      <w:szCs w:val="18"/>
                      <w:lang w:val="en-US" w:eastAsia="zh-CN"/>
                    </w:rPr>
                    <w:t>化粪池</w:t>
                  </w:r>
                </w:p>
              </w:tc>
              <w:tc>
                <w:tcPr>
                  <w:tcW w:w="434" w:type="pct"/>
                  <w:vMerge w:val="restart"/>
                  <w:vAlign w:val="center"/>
                </w:tcPr>
                <w:p>
                  <w:pPr>
                    <w:widowControl/>
                    <w:jc w:val="center"/>
                    <w:rPr>
                      <w:rFonts w:hint="default" w:ascii="Times New Roman" w:hAnsi="Times New Roman" w:eastAsia="宋体" w:cs="Times New Roman"/>
                      <w:color w:val="auto"/>
                      <w:spacing w:val="8"/>
                      <w:kern w:val="0"/>
                      <w:sz w:val="18"/>
                      <w:szCs w:val="18"/>
                    </w:rPr>
                  </w:pPr>
                  <w:r>
                    <w:rPr>
                      <w:rFonts w:hint="default" w:ascii="Times New Roman" w:hAnsi="Times New Roman" w:eastAsia="宋体" w:cs="Times New Roman"/>
                      <w:color w:val="auto"/>
                      <w:spacing w:val="8"/>
                      <w:kern w:val="0"/>
                      <w:sz w:val="18"/>
                      <w:szCs w:val="18"/>
                      <w:lang w:val="en-US" w:eastAsia="zh-CN"/>
                    </w:rPr>
                    <w:t>140</w:t>
                  </w: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en-US"/>
                    </w:rPr>
                    <w:t>6~9</w:t>
                  </w:r>
                </w:p>
              </w:tc>
              <w:tc>
                <w:tcPr>
                  <w:tcW w:w="80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t>
                  </w:r>
                </w:p>
              </w:tc>
              <w:tc>
                <w:tcPr>
                  <w:tcW w:w="387" w:type="pct"/>
                  <w:vMerge w:val="continue"/>
                  <w:vAlign w:val="center"/>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lang w:val="en-US" w:eastAsia="zh-CN"/>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COD</w:t>
                  </w:r>
                </w:p>
              </w:tc>
              <w:tc>
                <w:tcPr>
                  <w:tcW w:w="426"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400</w:t>
                  </w:r>
                </w:p>
              </w:tc>
              <w:tc>
                <w:tcPr>
                  <w:tcW w:w="833"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0.056</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340</w:t>
                  </w:r>
                </w:p>
              </w:tc>
              <w:tc>
                <w:tcPr>
                  <w:tcW w:w="1435"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0.0476</w:t>
                  </w:r>
                </w:p>
              </w:tc>
              <w:tc>
                <w:tcPr>
                  <w:tcW w:w="387" w:type="pct"/>
                  <w:vMerge w:val="continue"/>
                  <w:vAlign w:val="center"/>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lang w:val="en-US" w:eastAsia="zh-CN"/>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SS</w:t>
                  </w:r>
                </w:p>
              </w:tc>
              <w:tc>
                <w:tcPr>
                  <w:tcW w:w="426"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200</w:t>
                  </w:r>
                </w:p>
              </w:tc>
              <w:tc>
                <w:tcPr>
                  <w:tcW w:w="833"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0.028</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140</w:t>
                  </w:r>
                </w:p>
              </w:tc>
              <w:tc>
                <w:tcPr>
                  <w:tcW w:w="1435"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0.0196</w:t>
                  </w:r>
                </w:p>
              </w:tc>
              <w:tc>
                <w:tcPr>
                  <w:tcW w:w="387" w:type="pct"/>
                  <w:vMerge w:val="continue"/>
                  <w:vAlign w:val="center"/>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lang w:val="en-US" w:eastAsia="zh-CN"/>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氨氮</w:t>
                  </w:r>
                </w:p>
              </w:tc>
              <w:tc>
                <w:tcPr>
                  <w:tcW w:w="426"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25</w:t>
                  </w:r>
                </w:p>
              </w:tc>
              <w:tc>
                <w:tcPr>
                  <w:tcW w:w="833"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0.0035</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25</w:t>
                  </w:r>
                </w:p>
              </w:tc>
              <w:tc>
                <w:tcPr>
                  <w:tcW w:w="1435"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0.0035</w:t>
                  </w:r>
                </w:p>
              </w:tc>
              <w:tc>
                <w:tcPr>
                  <w:tcW w:w="387" w:type="pct"/>
                  <w:vMerge w:val="continue"/>
                  <w:vAlign w:val="center"/>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lang w:val="en-US" w:eastAsia="zh-CN"/>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总磷</w:t>
                  </w:r>
                </w:p>
              </w:tc>
              <w:tc>
                <w:tcPr>
                  <w:tcW w:w="426"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4</w:t>
                  </w:r>
                </w:p>
              </w:tc>
              <w:tc>
                <w:tcPr>
                  <w:tcW w:w="833"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0.00056</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4</w:t>
                  </w:r>
                </w:p>
              </w:tc>
              <w:tc>
                <w:tcPr>
                  <w:tcW w:w="143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kern w:val="2"/>
                      <w:sz w:val="18"/>
                      <w:szCs w:val="18"/>
                      <w:lang w:val="en-US" w:eastAsia="zh-CN" w:bidi="ar-SA"/>
                    </w:rPr>
                    <w:t>0.00056</w:t>
                  </w:r>
                </w:p>
              </w:tc>
              <w:tc>
                <w:tcPr>
                  <w:tcW w:w="387" w:type="pct"/>
                  <w:vMerge w:val="continue"/>
                  <w:vAlign w:val="center"/>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lang w:val="en-US" w:eastAsia="zh-CN"/>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LAS</w:t>
                  </w:r>
                </w:p>
              </w:tc>
              <w:tc>
                <w:tcPr>
                  <w:tcW w:w="426"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10</w:t>
                  </w:r>
                </w:p>
              </w:tc>
              <w:tc>
                <w:tcPr>
                  <w:tcW w:w="833"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0.0014</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10</w:t>
                  </w:r>
                </w:p>
              </w:tc>
              <w:tc>
                <w:tcPr>
                  <w:tcW w:w="143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kern w:val="2"/>
                      <w:sz w:val="18"/>
                      <w:szCs w:val="18"/>
                      <w:lang w:val="en-US" w:eastAsia="zh-CN" w:bidi="ar-SA"/>
                    </w:rPr>
                    <w:t>0.0014</w:t>
                  </w:r>
                </w:p>
              </w:tc>
              <w:tc>
                <w:tcPr>
                  <w:tcW w:w="387" w:type="pct"/>
                  <w:vMerge w:val="continue"/>
                  <w:vAlign w:val="center"/>
                </w:tcPr>
                <w:p>
                  <w:pPr>
                    <w:widowControl/>
                    <w:rPr>
                      <w:rFonts w:hint="default" w:ascii="Times New Roman" w:hAnsi="Times New Roman" w:eastAsia="宋体" w:cs="Times New Roman"/>
                      <w:color w:val="auto"/>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361" w:type="pct"/>
                  <w:vMerge w:val="continue"/>
                  <w:vAlign w:val="center"/>
                </w:tcPr>
                <w:p>
                  <w:pPr>
                    <w:widowControl/>
                    <w:jc w:val="center"/>
                    <w:rPr>
                      <w:rFonts w:hint="default" w:ascii="Times New Roman" w:hAnsi="Times New Roman" w:eastAsia="宋体" w:cs="Times New Roman"/>
                      <w:color w:val="auto"/>
                      <w:spacing w:val="8"/>
                      <w:kern w:val="0"/>
                      <w:sz w:val="18"/>
                      <w:szCs w:val="18"/>
                      <w:lang w:val="en-US" w:eastAsia="zh-CN"/>
                    </w:rPr>
                  </w:pPr>
                </w:p>
              </w:tc>
              <w:tc>
                <w:tcPr>
                  <w:tcW w:w="438"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360" w:type="pct"/>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总氮</w:t>
                  </w:r>
                </w:p>
              </w:tc>
              <w:tc>
                <w:tcPr>
                  <w:tcW w:w="426"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40</w:t>
                  </w:r>
                </w:p>
              </w:tc>
              <w:tc>
                <w:tcPr>
                  <w:tcW w:w="833" w:type="pct"/>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0.0056</w:t>
                  </w:r>
                </w:p>
              </w:tc>
              <w:tc>
                <w:tcPr>
                  <w:tcW w:w="29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434" w:type="pct"/>
                  <w:vMerge w:val="continue"/>
                  <w:vAlign w:val="center"/>
                </w:tcPr>
                <w:p>
                  <w:pPr>
                    <w:widowControl/>
                    <w:jc w:val="center"/>
                    <w:rPr>
                      <w:rFonts w:hint="default" w:ascii="Times New Roman" w:hAnsi="Times New Roman" w:eastAsia="宋体" w:cs="Times New Roman"/>
                      <w:color w:val="auto"/>
                      <w:spacing w:val="8"/>
                      <w:kern w:val="0"/>
                      <w:sz w:val="18"/>
                      <w:szCs w:val="18"/>
                    </w:rPr>
                  </w:pPr>
                </w:p>
              </w:tc>
              <w:tc>
                <w:tcPr>
                  <w:tcW w:w="655"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40</w:t>
                  </w:r>
                </w:p>
              </w:tc>
              <w:tc>
                <w:tcPr>
                  <w:tcW w:w="1435"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kern w:val="2"/>
                      <w:sz w:val="18"/>
                      <w:szCs w:val="18"/>
                      <w:lang w:val="en-US" w:eastAsia="zh-CN" w:bidi="ar-SA"/>
                    </w:rPr>
                    <w:t>0.0056</w:t>
                  </w:r>
                </w:p>
              </w:tc>
              <w:tc>
                <w:tcPr>
                  <w:tcW w:w="387" w:type="pct"/>
                  <w:vMerge w:val="continue"/>
                  <w:vAlign w:val="center"/>
                </w:tcPr>
                <w:p>
                  <w:pPr>
                    <w:widowControl/>
                    <w:rPr>
                      <w:rFonts w:hint="default" w:ascii="Times New Roman" w:hAnsi="Times New Roman" w:eastAsia="宋体" w:cs="Times New Roman"/>
                      <w:color w:val="auto"/>
                      <w:spacing w:val="8"/>
                      <w:kern w:val="0"/>
                      <w:sz w:val="18"/>
                      <w:szCs w:val="18"/>
                    </w:rPr>
                  </w:pPr>
                </w:p>
              </w:tc>
            </w:tr>
          </w:tbl>
          <w:p>
            <w:pPr>
              <w:widowControl/>
              <w:shd w:val="clear" w:color="auto" w:fill="FFFFFF"/>
              <w:spacing w:line="360" w:lineRule="auto"/>
              <w:rPr>
                <w:rFonts w:hint="default" w:ascii="Times New Roman" w:hAnsi="Times New Roman" w:cs="Times New Roman"/>
                <w:b/>
                <w:spacing w:val="8"/>
                <w:kern w:val="0"/>
                <w:sz w:val="21"/>
                <w:szCs w:val="21"/>
              </w:rPr>
            </w:pPr>
            <w:r>
              <w:rPr>
                <w:rFonts w:hint="default" w:ascii="Times New Roman" w:hAnsi="Times New Roman" w:cs="Times New Roman"/>
                <w:spacing w:val="8"/>
                <w:kern w:val="0"/>
                <w:sz w:val="21"/>
                <w:szCs w:val="21"/>
              </w:rPr>
              <w:t>（2）废水类别、污染物及污染治理设施信息一览表</w:t>
            </w:r>
          </w:p>
          <w:p>
            <w:pPr>
              <w:widowControl/>
              <w:shd w:val="clear" w:color="auto" w:fill="FFFFFF"/>
              <w:spacing w:line="360" w:lineRule="auto"/>
              <w:jc w:val="center"/>
              <w:rPr>
                <w:rFonts w:hint="default" w:ascii="Times New Roman" w:hAnsi="Times New Roman" w:cs="Times New Roman"/>
                <w:b/>
                <w:spacing w:val="8"/>
                <w:kern w:val="0"/>
                <w:sz w:val="21"/>
                <w:szCs w:val="21"/>
              </w:rPr>
            </w:pPr>
            <w:r>
              <w:rPr>
                <w:rFonts w:hint="default" w:ascii="Times New Roman" w:hAnsi="Times New Roman" w:cs="Times New Roman"/>
                <w:b/>
                <w:spacing w:val="8"/>
                <w:kern w:val="0"/>
                <w:sz w:val="21"/>
                <w:szCs w:val="21"/>
                <w:lang w:val="en-US" w:eastAsia="zh-CN"/>
              </w:rPr>
              <w:t xml:space="preserve">    </w:t>
            </w:r>
            <w:r>
              <w:rPr>
                <w:rFonts w:hint="default" w:ascii="Times New Roman" w:hAnsi="Times New Roman" w:cs="Times New Roman"/>
                <w:b/>
                <w:spacing w:val="8"/>
                <w:kern w:val="0"/>
                <w:sz w:val="21"/>
                <w:szCs w:val="21"/>
              </w:rPr>
              <w:t>4-</w:t>
            </w:r>
            <w:r>
              <w:rPr>
                <w:rFonts w:hint="default" w:ascii="Times New Roman" w:hAnsi="Times New Roman" w:cs="Times New Roman"/>
                <w:b/>
                <w:spacing w:val="8"/>
                <w:kern w:val="0"/>
                <w:sz w:val="21"/>
                <w:szCs w:val="21"/>
                <w:lang w:val="en-US" w:eastAsia="zh-CN"/>
              </w:rPr>
              <w:t>4</w:t>
            </w:r>
            <w:r>
              <w:rPr>
                <w:rFonts w:hint="default" w:ascii="Times New Roman" w:hAnsi="Times New Roman" w:cs="Times New Roman"/>
                <w:b/>
                <w:spacing w:val="8"/>
                <w:kern w:val="0"/>
                <w:sz w:val="21"/>
                <w:szCs w:val="21"/>
              </w:rPr>
              <w:t>废水类别、污染物及污染治理设施信息表</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678"/>
              <w:gridCol w:w="730"/>
              <w:gridCol w:w="1242"/>
              <w:gridCol w:w="998"/>
              <w:gridCol w:w="784"/>
              <w:gridCol w:w="784"/>
              <w:gridCol w:w="839"/>
              <w:gridCol w:w="1074"/>
              <w:gridCol w:w="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977" w:type="dxa"/>
                  <w:vMerge w:val="restart"/>
                  <w:vAlign w:val="center"/>
                </w:tcPr>
                <w:p>
                  <w:pPr>
                    <w:widowControl/>
                    <w:jc w:val="center"/>
                    <w:rPr>
                      <w:rFonts w:hint="eastAsia" w:ascii="宋体" w:hAnsi="宋体" w:eastAsia="宋体" w:cs="宋体"/>
                      <w:b/>
                      <w:bCs/>
                      <w:spacing w:val="8"/>
                      <w:kern w:val="0"/>
                      <w:sz w:val="18"/>
                      <w:szCs w:val="18"/>
                    </w:rPr>
                  </w:pPr>
                  <w:r>
                    <w:rPr>
                      <w:rFonts w:hint="eastAsia" w:ascii="宋体" w:hAnsi="宋体" w:eastAsia="宋体" w:cs="宋体"/>
                      <w:b/>
                      <w:bCs/>
                      <w:spacing w:val="8"/>
                      <w:kern w:val="0"/>
                      <w:sz w:val="18"/>
                      <w:szCs w:val="18"/>
                    </w:rPr>
                    <w:t>废水类别</w:t>
                  </w:r>
                </w:p>
              </w:tc>
              <w:tc>
                <w:tcPr>
                  <w:tcW w:w="678" w:type="dxa"/>
                  <w:vMerge w:val="restart"/>
                  <w:vAlign w:val="center"/>
                </w:tcPr>
                <w:p>
                  <w:pPr>
                    <w:widowControl/>
                    <w:jc w:val="center"/>
                    <w:rPr>
                      <w:rFonts w:hint="eastAsia" w:ascii="宋体" w:hAnsi="宋体" w:eastAsia="宋体" w:cs="宋体"/>
                      <w:b/>
                      <w:bCs/>
                      <w:spacing w:val="8"/>
                      <w:kern w:val="0"/>
                      <w:sz w:val="18"/>
                      <w:szCs w:val="18"/>
                    </w:rPr>
                  </w:pPr>
                  <w:r>
                    <w:rPr>
                      <w:rFonts w:hint="eastAsia" w:ascii="宋体" w:hAnsi="宋体" w:eastAsia="宋体" w:cs="宋体"/>
                      <w:b/>
                      <w:bCs/>
                      <w:spacing w:val="8"/>
                      <w:kern w:val="0"/>
                      <w:sz w:val="18"/>
                      <w:szCs w:val="18"/>
                    </w:rPr>
                    <w:t>污染物种类</w:t>
                  </w:r>
                </w:p>
              </w:tc>
              <w:tc>
                <w:tcPr>
                  <w:tcW w:w="730" w:type="dxa"/>
                  <w:vMerge w:val="restart"/>
                  <w:vAlign w:val="center"/>
                </w:tcPr>
                <w:p>
                  <w:pPr>
                    <w:widowControl/>
                    <w:jc w:val="center"/>
                    <w:rPr>
                      <w:rFonts w:hint="eastAsia" w:ascii="宋体" w:hAnsi="宋体" w:eastAsia="宋体" w:cs="宋体"/>
                      <w:b/>
                      <w:bCs/>
                      <w:spacing w:val="8"/>
                      <w:kern w:val="0"/>
                      <w:sz w:val="18"/>
                      <w:szCs w:val="18"/>
                    </w:rPr>
                  </w:pPr>
                  <w:r>
                    <w:rPr>
                      <w:rFonts w:hint="eastAsia" w:ascii="宋体" w:hAnsi="宋体" w:eastAsia="宋体" w:cs="宋体"/>
                      <w:b/>
                      <w:bCs/>
                      <w:spacing w:val="8"/>
                      <w:kern w:val="0"/>
                      <w:sz w:val="18"/>
                      <w:szCs w:val="18"/>
                    </w:rPr>
                    <w:t>排放</w:t>
                  </w:r>
                </w:p>
                <w:p>
                  <w:pPr>
                    <w:widowControl/>
                    <w:jc w:val="center"/>
                    <w:rPr>
                      <w:rFonts w:hint="eastAsia" w:ascii="宋体" w:hAnsi="宋体" w:eastAsia="宋体" w:cs="宋体"/>
                      <w:b/>
                      <w:bCs/>
                      <w:spacing w:val="8"/>
                      <w:kern w:val="0"/>
                      <w:sz w:val="18"/>
                      <w:szCs w:val="18"/>
                    </w:rPr>
                  </w:pPr>
                  <w:r>
                    <w:rPr>
                      <w:rFonts w:hint="eastAsia" w:ascii="宋体" w:hAnsi="宋体" w:eastAsia="宋体" w:cs="宋体"/>
                      <w:b/>
                      <w:bCs/>
                      <w:spacing w:val="8"/>
                      <w:kern w:val="0"/>
                      <w:sz w:val="18"/>
                      <w:szCs w:val="18"/>
                    </w:rPr>
                    <w:t>去向</w:t>
                  </w:r>
                </w:p>
              </w:tc>
              <w:tc>
                <w:tcPr>
                  <w:tcW w:w="1242" w:type="dxa"/>
                  <w:vMerge w:val="restart"/>
                  <w:vAlign w:val="center"/>
                </w:tcPr>
                <w:p>
                  <w:pPr>
                    <w:widowControl/>
                    <w:jc w:val="center"/>
                    <w:rPr>
                      <w:rFonts w:hint="eastAsia" w:ascii="宋体" w:hAnsi="宋体" w:eastAsia="宋体" w:cs="宋体"/>
                      <w:b/>
                      <w:bCs/>
                      <w:spacing w:val="8"/>
                      <w:kern w:val="0"/>
                      <w:sz w:val="18"/>
                      <w:szCs w:val="18"/>
                    </w:rPr>
                  </w:pPr>
                  <w:r>
                    <w:rPr>
                      <w:rFonts w:hint="eastAsia" w:ascii="宋体" w:hAnsi="宋体" w:eastAsia="宋体" w:cs="宋体"/>
                      <w:b/>
                      <w:bCs/>
                      <w:spacing w:val="8"/>
                      <w:kern w:val="0"/>
                      <w:sz w:val="18"/>
                      <w:szCs w:val="18"/>
                    </w:rPr>
                    <w:t>排放规律</w:t>
                  </w:r>
                </w:p>
              </w:tc>
              <w:tc>
                <w:tcPr>
                  <w:tcW w:w="2566" w:type="dxa"/>
                  <w:gridSpan w:val="3"/>
                  <w:vAlign w:val="center"/>
                </w:tcPr>
                <w:p>
                  <w:pPr>
                    <w:widowControl/>
                    <w:jc w:val="center"/>
                    <w:rPr>
                      <w:rFonts w:hint="eastAsia" w:ascii="宋体" w:hAnsi="宋体" w:eastAsia="宋体" w:cs="宋体"/>
                      <w:b/>
                      <w:bCs/>
                      <w:spacing w:val="8"/>
                      <w:kern w:val="0"/>
                      <w:sz w:val="18"/>
                      <w:szCs w:val="18"/>
                    </w:rPr>
                  </w:pPr>
                  <w:r>
                    <w:rPr>
                      <w:rFonts w:hint="eastAsia" w:ascii="宋体" w:hAnsi="宋体" w:eastAsia="宋体" w:cs="宋体"/>
                      <w:b/>
                      <w:bCs/>
                      <w:spacing w:val="8"/>
                      <w:kern w:val="0"/>
                      <w:sz w:val="18"/>
                      <w:szCs w:val="18"/>
                    </w:rPr>
                    <w:t>污染治理设施</w:t>
                  </w:r>
                </w:p>
              </w:tc>
              <w:tc>
                <w:tcPr>
                  <w:tcW w:w="839" w:type="dxa"/>
                  <w:vMerge w:val="restart"/>
                  <w:vAlign w:val="center"/>
                </w:tcPr>
                <w:p>
                  <w:pPr>
                    <w:widowControl/>
                    <w:jc w:val="center"/>
                    <w:rPr>
                      <w:rFonts w:hint="eastAsia" w:ascii="宋体" w:hAnsi="宋体" w:eastAsia="宋体" w:cs="宋体"/>
                      <w:b/>
                      <w:bCs/>
                      <w:spacing w:val="8"/>
                      <w:kern w:val="0"/>
                      <w:sz w:val="18"/>
                      <w:szCs w:val="18"/>
                    </w:rPr>
                  </w:pPr>
                  <w:r>
                    <w:rPr>
                      <w:rFonts w:hint="eastAsia" w:ascii="宋体" w:hAnsi="宋体" w:eastAsia="宋体" w:cs="宋体"/>
                      <w:b/>
                      <w:bCs/>
                      <w:spacing w:val="8"/>
                      <w:kern w:val="0"/>
                      <w:sz w:val="18"/>
                      <w:szCs w:val="18"/>
                    </w:rPr>
                    <w:t>排放口编号</w:t>
                  </w:r>
                </w:p>
              </w:tc>
              <w:tc>
                <w:tcPr>
                  <w:tcW w:w="1074" w:type="dxa"/>
                  <w:vMerge w:val="restart"/>
                  <w:vAlign w:val="center"/>
                </w:tcPr>
                <w:p>
                  <w:pPr>
                    <w:widowControl/>
                    <w:jc w:val="center"/>
                    <w:rPr>
                      <w:rFonts w:hint="eastAsia" w:ascii="宋体" w:hAnsi="宋体" w:eastAsia="宋体" w:cs="宋体"/>
                      <w:b/>
                      <w:bCs/>
                      <w:spacing w:val="8"/>
                      <w:kern w:val="0"/>
                      <w:sz w:val="18"/>
                      <w:szCs w:val="18"/>
                    </w:rPr>
                  </w:pPr>
                  <w:r>
                    <w:rPr>
                      <w:rFonts w:hint="eastAsia" w:ascii="宋体" w:hAnsi="宋体" w:eastAsia="宋体" w:cs="宋体"/>
                      <w:b/>
                      <w:bCs/>
                      <w:spacing w:val="8"/>
                      <w:kern w:val="0"/>
                      <w:sz w:val="18"/>
                      <w:szCs w:val="18"/>
                    </w:rPr>
                    <w:t>排放口设置是否符合要求</w:t>
                  </w:r>
                </w:p>
              </w:tc>
              <w:tc>
                <w:tcPr>
                  <w:tcW w:w="756" w:type="dxa"/>
                  <w:vMerge w:val="restart"/>
                  <w:vAlign w:val="center"/>
                </w:tcPr>
                <w:p>
                  <w:pPr>
                    <w:widowControl/>
                    <w:jc w:val="center"/>
                    <w:rPr>
                      <w:rFonts w:hint="eastAsia" w:ascii="宋体" w:hAnsi="宋体" w:eastAsia="宋体" w:cs="宋体"/>
                      <w:b/>
                      <w:bCs/>
                      <w:spacing w:val="8"/>
                      <w:kern w:val="0"/>
                      <w:sz w:val="18"/>
                      <w:szCs w:val="18"/>
                    </w:rPr>
                  </w:pPr>
                  <w:r>
                    <w:rPr>
                      <w:rFonts w:hint="eastAsia" w:ascii="宋体" w:hAnsi="宋体" w:eastAsia="宋体" w:cs="宋体"/>
                      <w:b/>
                      <w:bCs/>
                      <w:spacing w:val="8"/>
                      <w:kern w:val="0"/>
                      <w:sz w:val="18"/>
                      <w:szCs w:val="18"/>
                    </w:rPr>
                    <w:t>排放口类型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977" w:type="dxa"/>
                  <w:vMerge w:val="continue"/>
                </w:tcPr>
                <w:p>
                  <w:pPr>
                    <w:widowControl/>
                    <w:jc w:val="center"/>
                    <w:rPr>
                      <w:rFonts w:hint="eastAsia" w:ascii="宋体" w:hAnsi="宋体" w:eastAsia="宋体" w:cs="宋体"/>
                      <w:spacing w:val="8"/>
                      <w:kern w:val="0"/>
                      <w:sz w:val="18"/>
                      <w:szCs w:val="18"/>
                    </w:rPr>
                  </w:pPr>
                </w:p>
              </w:tc>
              <w:tc>
                <w:tcPr>
                  <w:tcW w:w="678" w:type="dxa"/>
                  <w:vMerge w:val="continue"/>
                </w:tcPr>
                <w:p>
                  <w:pPr>
                    <w:widowControl/>
                    <w:jc w:val="center"/>
                    <w:rPr>
                      <w:rFonts w:hint="eastAsia" w:ascii="宋体" w:hAnsi="宋体" w:eastAsia="宋体" w:cs="宋体"/>
                      <w:spacing w:val="8"/>
                      <w:kern w:val="0"/>
                      <w:sz w:val="18"/>
                      <w:szCs w:val="18"/>
                    </w:rPr>
                  </w:pPr>
                </w:p>
              </w:tc>
              <w:tc>
                <w:tcPr>
                  <w:tcW w:w="730" w:type="dxa"/>
                  <w:vMerge w:val="continue"/>
                </w:tcPr>
                <w:p>
                  <w:pPr>
                    <w:widowControl/>
                    <w:jc w:val="center"/>
                    <w:rPr>
                      <w:rFonts w:hint="eastAsia" w:ascii="宋体" w:hAnsi="宋体" w:eastAsia="宋体" w:cs="宋体"/>
                      <w:spacing w:val="8"/>
                      <w:kern w:val="0"/>
                      <w:sz w:val="18"/>
                      <w:szCs w:val="18"/>
                    </w:rPr>
                  </w:pPr>
                </w:p>
              </w:tc>
              <w:tc>
                <w:tcPr>
                  <w:tcW w:w="1242" w:type="dxa"/>
                  <w:vMerge w:val="continue"/>
                </w:tcPr>
                <w:p>
                  <w:pPr>
                    <w:widowControl/>
                    <w:jc w:val="center"/>
                    <w:rPr>
                      <w:rFonts w:hint="eastAsia" w:ascii="宋体" w:hAnsi="宋体" w:eastAsia="宋体" w:cs="宋体"/>
                      <w:spacing w:val="8"/>
                      <w:kern w:val="0"/>
                      <w:sz w:val="18"/>
                      <w:szCs w:val="18"/>
                    </w:rPr>
                  </w:pPr>
                </w:p>
              </w:tc>
              <w:tc>
                <w:tcPr>
                  <w:tcW w:w="998" w:type="dxa"/>
                </w:tcPr>
                <w:p>
                  <w:pPr>
                    <w:widowControl/>
                    <w:jc w:val="center"/>
                    <w:rPr>
                      <w:rFonts w:hint="eastAsia" w:ascii="宋体" w:hAnsi="宋体" w:eastAsia="宋体" w:cs="宋体"/>
                      <w:b/>
                      <w:bCs/>
                      <w:spacing w:val="8"/>
                      <w:kern w:val="0"/>
                      <w:sz w:val="18"/>
                      <w:szCs w:val="18"/>
                    </w:rPr>
                  </w:pPr>
                  <w:r>
                    <w:rPr>
                      <w:rFonts w:hint="eastAsia" w:ascii="宋体" w:hAnsi="宋体" w:eastAsia="宋体" w:cs="宋体"/>
                      <w:b/>
                      <w:bCs/>
                      <w:spacing w:val="8"/>
                      <w:kern w:val="0"/>
                      <w:sz w:val="18"/>
                      <w:szCs w:val="18"/>
                    </w:rPr>
                    <w:t>污染治理设施编号</w:t>
                  </w:r>
                </w:p>
              </w:tc>
              <w:tc>
                <w:tcPr>
                  <w:tcW w:w="784" w:type="dxa"/>
                </w:tcPr>
                <w:p>
                  <w:pPr>
                    <w:widowControl/>
                    <w:jc w:val="center"/>
                    <w:rPr>
                      <w:rFonts w:hint="eastAsia" w:ascii="宋体" w:hAnsi="宋体" w:eastAsia="宋体" w:cs="宋体"/>
                      <w:b/>
                      <w:bCs/>
                      <w:spacing w:val="8"/>
                      <w:kern w:val="0"/>
                      <w:sz w:val="18"/>
                      <w:szCs w:val="18"/>
                    </w:rPr>
                  </w:pPr>
                  <w:r>
                    <w:rPr>
                      <w:rFonts w:hint="eastAsia" w:ascii="宋体" w:hAnsi="宋体" w:eastAsia="宋体" w:cs="宋体"/>
                      <w:b/>
                      <w:bCs/>
                      <w:spacing w:val="8"/>
                      <w:kern w:val="0"/>
                      <w:sz w:val="18"/>
                      <w:szCs w:val="18"/>
                    </w:rPr>
                    <w:t>污染治理设施名称</w:t>
                  </w:r>
                </w:p>
              </w:tc>
              <w:tc>
                <w:tcPr>
                  <w:tcW w:w="784" w:type="dxa"/>
                </w:tcPr>
                <w:p>
                  <w:pPr>
                    <w:widowControl/>
                    <w:jc w:val="center"/>
                    <w:rPr>
                      <w:rFonts w:hint="eastAsia" w:ascii="宋体" w:hAnsi="宋体" w:eastAsia="宋体" w:cs="宋体"/>
                      <w:b/>
                      <w:bCs/>
                      <w:spacing w:val="8"/>
                      <w:kern w:val="0"/>
                      <w:sz w:val="18"/>
                      <w:szCs w:val="18"/>
                    </w:rPr>
                  </w:pPr>
                  <w:r>
                    <w:rPr>
                      <w:rFonts w:hint="eastAsia" w:ascii="宋体" w:hAnsi="宋体" w:eastAsia="宋体" w:cs="宋体"/>
                      <w:b/>
                      <w:bCs/>
                      <w:spacing w:val="8"/>
                      <w:kern w:val="0"/>
                      <w:sz w:val="18"/>
                      <w:szCs w:val="18"/>
                    </w:rPr>
                    <w:t>污染治理设施工艺</w:t>
                  </w:r>
                </w:p>
              </w:tc>
              <w:tc>
                <w:tcPr>
                  <w:tcW w:w="839" w:type="dxa"/>
                  <w:vMerge w:val="continue"/>
                </w:tcPr>
                <w:p>
                  <w:pPr>
                    <w:widowControl/>
                    <w:jc w:val="center"/>
                    <w:rPr>
                      <w:rFonts w:hint="eastAsia" w:ascii="宋体" w:hAnsi="宋体" w:eastAsia="宋体" w:cs="宋体"/>
                      <w:spacing w:val="8"/>
                      <w:kern w:val="0"/>
                      <w:sz w:val="18"/>
                      <w:szCs w:val="18"/>
                    </w:rPr>
                  </w:pPr>
                </w:p>
              </w:tc>
              <w:tc>
                <w:tcPr>
                  <w:tcW w:w="1074" w:type="dxa"/>
                  <w:vMerge w:val="continue"/>
                </w:tcPr>
                <w:p>
                  <w:pPr>
                    <w:widowControl/>
                    <w:jc w:val="center"/>
                    <w:rPr>
                      <w:rFonts w:hint="eastAsia" w:ascii="宋体" w:hAnsi="宋体" w:eastAsia="宋体" w:cs="宋体"/>
                      <w:spacing w:val="8"/>
                      <w:kern w:val="0"/>
                      <w:sz w:val="18"/>
                      <w:szCs w:val="18"/>
                    </w:rPr>
                  </w:pPr>
                </w:p>
              </w:tc>
              <w:tc>
                <w:tcPr>
                  <w:tcW w:w="756" w:type="dxa"/>
                  <w:vMerge w:val="continue"/>
                </w:tcPr>
                <w:p>
                  <w:pPr>
                    <w:widowControl/>
                    <w:jc w:val="center"/>
                    <w:rPr>
                      <w:rFonts w:hint="eastAsia" w:ascii="宋体" w:hAnsi="宋体" w:eastAsia="宋体" w:cs="宋体"/>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977" w:type="dxa"/>
                  <w:vMerge w:val="restart"/>
                  <w:vAlign w:val="center"/>
                </w:tcPr>
                <w:p>
                  <w:pPr>
                    <w:widowControl/>
                    <w:jc w:val="center"/>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t>生活污水、</w:t>
                  </w:r>
                  <w:r>
                    <w:rPr>
                      <w:rFonts w:hint="eastAsia" w:ascii="宋体" w:hAnsi="宋体" w:eastAsia="宋体" w:cs="宋体"/>
                      <w:spacing w:val="8"/>
                      <w:kern w:val="0"/>
                      <w:sz w:val="18"/>
                      <w:szCs w:val="18"/>
                      <w:lang w:val="en-US" w:eastAsia="zh-CN"/>
                    </w:rPr>
                    <w:t>洗浴污</w:t>
                  </w:r>
                  <w:r>
                    <w:rPr>
                      <w:rFonts w:hint="eastAsia" w:ascii="宋体" w:hAnsi="宋体" w:eastAsia="宋体" w:cs="宋体"/>
                      <w:spacing w:val="8"/>
                      <w:kern w:val="0"/>
                      <w:sz w:val="18"/>
                      <w:szCs w:val="18"/>
                    </w:rPr>
                    <w:t>水</w:t>
                  </w:r>
                </w:p>
              </w:tc>
              <w:tc>
                <w:tcPr>
                  <w:tcW w:w="678"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COD</w:t>
                  </w:r>
                </w:p>
              </w:tc>
              <w:tc>
                <w:tcPr>
                  <w:tcW w:w="730" w:type="dxa"/>
                  <w:vMerge w:val="restart"/>
                  <w:vAlign w:val="center"/>
                </w:tcPr>
                <w:p>
                  <w:pPr>
                    <w:widowControl/>
                    <w:jc w:val="center"/>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t>城东污水处理厂</w:t>
                  </w:r>
                </w:p>
              </w:tc>
              <w:tc>
                <w:tcPr>
                  <w:tcW w:w="1242" w:type="dxa"/>
                  <w:vMerge w:val="restart"/>
                  <w:vAlign w:val="center"/>
                </w:tcPr>
                <w:p>
                  <w:pPr>
                    <w:widowControl/>
                    <w:jc w:val="center"/>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t>间断排放，排放期间流量不稳定</w:t>
                  </w:r>
                </w:p>
              </w:tc>
              <w:tc>
                <w:tcPr>
                  <w:tcW w:w="998" w:type="dxa"/>
                  <w:vMerge w:val="restart"/>
                  <w:vAlign w:val="center"/>
                </w:tcPr>
                <w:p>
                  <w:pPr>
                    <w:widowControl/>
                    <w:jc w:val="center"/>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t>TW001</w:t>
                  </w:r>
                </w:p>
              </w:tc>
              <w:tc>
                <w:tcPr>
                  <w:tcW w:w="784" w:type="dxa"/>
                  <w:vMerge w:val="restart"/>
                  <w:vAlign w:val="center"/>
                </w:tcPr>
                <w:p>
                  <w:pPr>
                    <w:widowControl/>
                    <w:jc w:val="center"/>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t>化粪池</w:t>
                  </w:r>
                </w:p>
              </w:tc>
              <w:tc>
                <w:tcPr>
                  <w:tcW w:w="784" w:type="dxa"/>
                  <w:vMerge w:val="restart"/>
                  <w:vAlign w:val="center"/>
                </w:tcPr>
                <w:p>
                  <w:pPr>
                    <w:widowControl/>
                    <w:jc w:val="center"/>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t>/</w:t>
                  </w:r>
                </w:p>
              </w:tc>
              <w:tc>
                <w:tcPr>
                  <w:tcW w:w="839" w:type="dxa"/>
                  <w:vMerge w:val="restart"/>
                  <w:vAlign w:val="center"/>
                </w:tcPr>
                <w:p>
                  <w:pPr>
                    <w:widowControl/>
                    <w:jc w:val="center"/>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t>DW001</w:t>
                  </w:r>
                </w:p>
              </w:tc>
              <w:tc>
                <w:tcPr>
                  <w:tcW w:w="1074" w:type="dxa"/>
                  <w:vMerge w:val="restart"/>
                  <w:vAlign w:val="center"/>
                </w:tcPr>
                <w:p>
                  <w:pPr>
                    <w:widowControl/>
                    <w:jc w:val="center"/>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sym w:font="Wingdings 2" w:char="F052"/>
                  </w:r>
                  <w:r>
                    <w:rPr>
                      <w:rFonts w:hint="eastAsia" w:ascii="宋体" w:hAnsi="宋体" w:eastAsia="宋体" w:cs="宋体"/>
                      <w:spacing w:val="8"/>
                      <w:kern w:val="0"/>
                      <w:sz w:val="18"/>
                      <w:szCs w:val="18"/>
                    </w:rPr>
                    <w:t>是</w:t>
                  </w:r>
                </w:p>
                <w:p>
                  <w:pPr>
                    <w:widowControl/>
                    <w:jc w:val="center"/>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sym w:font="Wingdings 2" w:char="F0A3"/>
                  </w:r>
                  <w:r>
                    <w:rPr>
                      <w:rFonts w:hint="eastAsia" w:ascii="宋体" w:hAnsi="宋体" w:eastAsia="宋体" w:cs="宋体"/>
                      <w:spacing w:val="8"/>
                      <w:kern w:val="0"/>
                      <w:sz w:val="18"/>
                      <w:szCs w:val="18"/>
                    </w:rPr>
                    <w:t>否</w:t>
                  </w:r>
                </w:p>
              </w:tc>
              <w:tc>
                <w:tcPr>
                  <w:tcW w:w="756" w:type="dxa"/>
                  <w:vMerge w:val="restart"/>
                  <w:vAlign w:val="center"/>
                </w:tcPr>
                <w:p>
                  <w:pPr>
                    <w:widowControl/>
                    <w:jc w:val="center"/>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sym w:font="Wingdings 2" w:char="F052"/>
                  </w:r>
                  <w:r>
                    <w:rPr>
                      <w:rFonts w:hint="eastAsia" w:ascii="宋体" w:hAnsi="宋体" w:eastAsia="宋体" w:cs="宋体"/>
                      <w:spacing w:val="8"/>
                      <w:kern w:val="0"/>
                      <w:sz w:val="18"/>
                      <w:szCs w:val="18"/>
                    </w:rPr>
                    <w:t>企业总排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977" w:type="dxa"/>
                  <w:vMerge w:val="continue"/>
                  <w:vAlign w:val="center"/>
                </w:tcPr>
                <w:p>
                  <w:pPr>
                    <w:widowControl/>
                    <w:jc w:val="center"/>
                    <w:rPr>
                      <w:rFonts w:hint="eastAsia" w:ascii="宋体" w:hAnsi="宋体" w:eastAsia="宋体" w:cs="宋体"/>
                      <w:spacing w:val="8"/>
                      <w:kern w:val="0"/>
                      <w:sz w:val="18"/>
                      <w:szCs w:val="18"/>
                    </w:rPr>
                  </w:pPr>
                </w:p>
              </w:tc>
              <w:tc>
                <w:tcPr>
                  <w:tcW w:w="678" w:type="dxa"/>
                  <w:vAlign w:val="center"/>
                </w:tcPr>
                <w:p>
                  <w:pPr>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SS</w:t>
                  </w:r>
                </w:p>
              </w:tc>
              <w:tc>
                <w:tcPr>
                  <w:tcW w:w="730" w:type="dxa"/>
                  <w:vMerge w:val="continue"/>
                  <w:vAlign w:val="center"/>
                </w:tcPr>
                <w:p>
                  <w:pPr>
                    <w:widowControl/>
                    <w:jc w:val="center"/>
                    <w:rPr>
                      <w:rFonts w:hint="eastAsia" w:ascii="宋体" w:hAnsi="宋体" w:eastAsia="宋体" w:cs="宋体"/>
                      <w:spacing w:val="8"/>
                      <w:kern w:val="0"/>
                      <w:sz w:val="18"/>
                      <w:szCs w:val="18"/>
                    </w:rPr>
                  </w:pPr>
                </w:p>
              </w:tc>
              <w:tc>
                <w:tcPr>
                  <w:tcW w:w="1242" w:type="dxa"/>
                  <w:vMerge w:val="continue"/>
                  <w:vAlign w:val="center"/>
                </w:tcPr>
                <w:p>
                  <w:pPr>
                    <w:widowControl/>
                    <w:jc w:val="center"/>
                    <w:rPr>
                      <w:rFonts w:hint="eastAsia" w:ascii="宋体" w:hAnsi="宋体" w:eastAsia="宋体" w:cs="宋体"/>
                      <w:spacing w:val="8"/>
                      <w:kern w:val="0"/>
                      <w:sz w:val="18"/>
                      <w:szCs w:val="18"/>
                    </w:rPr>
                  </w:pPr>
                </w:p>
              </w:tc>
              <w:tc>
                <w:tcPr>
                  <w:tcW w:w="998"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continue"/>
                  <w:vAlign w:val="center"/>
                </w:tcPr>
                <w:p>
                  <w:pPr>
                    <w:widowControl/>
                    <w:jc w:val="center"/>
                    <w:rPr>
                      <w:rFonts w:hint="eastAsia" w:ascii="宋体" w:hAnsi="宋体" w:eastAsia="宋体" w:cs="宋体"/>
                      <w:spacing w:val="8"/>
                      <w:kern w:val="0"/>
                      <w:sz w:val="18"/>
                      <w:szCs w:val="18"/>
                    </w:rPr>
                  </w:pPr>
                </w:p>
              </w:tc>
              <w:tc>
                <w:tcPr>
                  <w:tcW w:w="839" w:type="dxa"/>
                  <w:vMerge w:val="continue"/>
                  <w:vAlign w:val="center"/>
                </w:tcPr>
                <w:p>
                  <w:pPr>
                    <w:widowControl/>
                    <w:jc w:val="center"/>
                    <w:rPr>
                      <w:rFonts w:hint="eastAsia" w:ascii="宋体" w:hAnsi="宋体" w:eastAsia="宋体" w:cs="宋体"/>
                      <w:spacing w:val="8"/>
                      <w:kern w:val="0"/>
                      <w:sz w:val="18"/>
                      <w:szCs w:val="18"/>
                    </w:rPr>
                  </w:pPr>
                </w:p>
              </w:tc>
              <w:tc>
                <w:tcPr>
                  <w:tcW w:w="1074" w:type="dxa"/>
                  <w:vMerge w:val="continue"/>
                </w:tcPr>
                <w:p>
                  <w:pPr>
                    <w:widowControl/>
                    <w:jc w:val="center"/>
                    <w:rPr>
                      <w:rFonts w:hint="eastAsia" w:ascii="宋体" w:hAnsi="宋体" w:eastAsia="宋体" w:cs="宋体"/>
                      <w:spacing w:val="8"/>
                      <w:kern w:val="0"/>
                      <w:sz w:val="18"/>
                      <w:szCs w:val="18"/>
                    </w:rPr>
                  </w:pPr>
                </w:p>
              </w:tc>
              <w:tc>
                <w:tcPr>
                  <w:tcW w:w="756" w:type="dxa"/>
                  <w:vMerge w:val="continue"/>
                </w:tcPr>
                <w:p>
                  <w:pPr>
                    <w:widowControl/>
                    <w:jc w:val="center"/>
                    <w:rPr>
                      <w:rFonts w:hint="eastAsia" w:ascii="宋体" w:hAnsi="宋体" w:eastAsia="宋体" w:cs="宋体"/>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977" w:type="dxa"/>
                  <w:vMerge w:val="continue"/>
                  <w:vAlign w:val="center"/>
                </w:tcPr>
                <w:p>
                  <w:pPr>
                    <w:widowControl/>
                    <w:jc w:val="center"/>
                    <w:rPr>
                      <w:rFonts w:hint="eastAsia" w:ascii="宋体" w:hAnsi="宋体" w:eastAsia="宋体" w:cs="宋体"/>
                      <w:spacing w:val="8"/>
                      <w:kern w:val="0"/>
                      <w:sz w:val="18"/>
                      <w:szCs w:val="18"/>
                    </w:rPr>
                  </w:pPr>
                </w:p>
              </w:tc>
              <w:tc>
                <w:tcPr>
                  <w:tcW w:w="678" w:type="dxa"/>
                  <w:vAlign w:val="center"/>
                </w:tcPr>
                <w:p>
                  <w:pPr>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NH</w:t>
                  </w:r>
                  <w:r>
                    <w:rPr>
                      <w:rFonts w:hint="eastAsia" w:ascii="宋体" w:hAnsi="宋体" w:eastAsia="宋体" w:cs="宋体"/>
                      <w:sz w:val="18"/>
                      <w:szCs w:val="18"/>
                      <w:vertAlign w:val="subscript"/>
                    </w:rPr>
                    <w:t>3</w:t>
                  </w:r>
                  <w:r>
                    <w:rPr>
                      <w:rFonts w:hint="eastAsia" w:ascii="宋体" w:hAnsi="宋体" w:eastAsia="宋体" w:cs="宋体"/>
                      <w:sz w:val="18"/>
                      <w:szCs w:val="18"/>
                    </w:rPr>
                    <w:t>-N</w:t>
                  </w:r>
                </w:p>
              </w:tc>
              <w:tc>
                <w:tcPr>
                  <w:tcW w:w="730" w:type="dxa"/>
                  <w:vMerge w:val="continue"/>
                  <w:vAlign w:val="center"/>
                </w:tcPr>
                <w:p>
                  <w:pPr>
                    <w:widowControl/>
                    <w:jc w:val="center"/>
                    <w:rPr>
                      <w:rFonts w:hint="eastAsia" w:ascii="宋体" w:hAnsi="宋体" w:eastAsia="宋体" w:cs="宋体"/>
                      <w:spacing w:val="8"/>
                      <w:kern w:val="0"/>
                      <w:sz w:val="18"/>
                      <w:szCs w:val="18"/>
                    </w:rPr>
                  </w:pPr>
                </w:p>
              </w:tc>
              <w:tc>
                <w:tcPr>
                  <w:tcW w:w="1242" w:type="dxa"/>
                  <w:vMerge w:val="continue"/>
                  <w:vAlign w:val="center"/>
                </w:tcPr>
                <w:p>
                  <w:pPr>
                    <w:widowControl/>
                    <w:jc w:val="center"/>
                    <w:rPr>
                      <w:rFonts w:hint="eastAsia" w:ascii="宋体" w:hAnsi="宋体" w:eastAsia="宋体" w:cs="宋体"/>
                      <w:spacing w:val="8"/>
                      <w:kern w:val="0"/>
                      <w:sz w:val="18"/>
                      <w:szCs w:val="18"/>
                    </w:rPr>
                  </w:pPr>
                </w:p>
              </w:tc>
              <w:tc>
                <w:tcPr>
                  <w:tcW w:w="998"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continue"/>
                  <w:vAlign w:val="center"/>
                </w:tcPr>
                <w:p>
                  <w:pPr>
                    <w:widowControl/>
                    <w:jc w:val="center"/>
                    <w:rPr>
                      <w:rFonts w:hint="eastAsia" w:ascii="宋体" w:hAnsi="宋体" w:eastAsia="宋体" w:cs="宋体"/>
                      <w:spacing w:val="8"/>
                      <w:kern w:val="0"/>
                      <w:sz w:val="18"/>
                      <w:szCs w:val="18"/>
                    </w:rPr>
                  </w:pPr>
                </w:p>
              </w:tc>
              <w:tc>
                <w:tcPr>
                  <w:tcW w:w="839" w:type="dxa"/>
                  <w:vMerge w:val="continue"/>
                  <w:vAlign w:val="center"/>
                </w:tcPr>
                <w:p>
                  <w:pPr>
                    <w:widowControl/>
                    <w:jc w:val="center"/>
                    <w:rPr>
                      <w:rFonts w:hint="eastAsia" w:ascii="宋体" w:hAnsi="宋体" w:eastAsia="宋体" w:cs="宋体"/>
                      <w:spacing w:val="8"/>
                      <w:kern w:val="0"/>
                      <w:sz w:val="18"/>
                      <w:szCs w:val="18"/>
                    </w:rPr>
                  </w:pPr>
                </w:p>
              </w:tc>
              <w:tc>
                <w:tcPr>
                  <w:tcW w:w="1074" w:type="dxa"/>
                  <w:vMerge w:val="continue"/>
                </w:tcPr>
                <w:p>
                  <w:pPr>
                    <w:widowControl/>
                    <w:jc w:val="center"/>
                    <w:rPr>
                      <w:rFonts w:hint="eastAsia" w:ascii="宋体" w:hAnsi="宋体" w:eastAsia="宋体" w:cs="宋体"/>
                      <w:spacing w:val="8"/>
                      <w:kern w:val="0"/>
                      <w:sz w:val="18"/>
                      <w:szCs w:val="18"/>
                    </w:rPr>
                  </w:pPr>
                </w:p>
              </w:tc>
              <w:tc>
                <w:tcPr>
                  <w:tcW w:w="756" w:type="dxa"/>
                  <w:vMerge w:val="continue"/>
                </w:tcPr>
                <w:p>
                  <w:pPr>
                    <w:widowControl/>
                    <w:jc w:val="center"/>
                    <w:rPr>
                      <w:rFonts w:hint="eastAsia" w:ascii="宋体" w:hAnsi="宋体" w:eastAsia="宋体" w:cs="宋体"/>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977" w:type="dxa"/>
                  <w:vMerge w:val="continue"/>
                  <w:vAlign w:val="center"/>
                </w:tcPr>
                <w:p>
                  <w:pPr>
                    <w:widowControl/>
                    <w:jc w:val="center"/>
                    <w:rPr>
                      <w:rFonts w:hint="eastAsia" w:ascii="宋体" w:hAnsi="宋体" w:eastAsia="宋体" w:cs="宋体"/>
                      <w:spacing w:val="8"/>
                      <w:kern w:val="0"/>
                      <w:sz w:val="18"/>
                      <w:szCs w:val="18"/>
                    </w:rPr>
                  </w:pPr>
                </w:p>
              </w:tc>
              <w:tc>
                <w:tcPr>
                  <w:tcW w:w="678" w:type="dxa"/>
                  <w:vAlign w:val="center"/>
                </w:tcPr>
                <w:p>
                  <w:pPr>
                    <w:ind w:left="-105" w:leftChars="-50" w:right="-105" w:rightChars="-50"/>
                    <w:jc w:val="center"/>
                    <w:rPr>
                      <w:rFonts w:hint="eastAsia" w:ascii="宋体" w:hAnsi="宋体" w:eastAsia="宋体" w:cs="宋体"/>
                      <w:sz w:val="18"/>
                      <w:szCs w:val="18"/>
                    </w:rPr>
                  </w:pPr>
                  <w:r>
                    <w:rPr>
                      <w:rFonts w:hint="eastAsia" w:ascii="宋体" w:hAnsi="宋体" w:eastAsia="宋体" w:cs="宋体"/>
                      <w:color w:val="auto"/>
                      <w:sz w:val="18"/>
                      <w:szCs w:val="18"/>
                      <w:lang w:val="en-US" w:eastAsia="zh-CN"/>
                    </w:rPr>
                    <w:t>LAS</w:t>
                  </w:r>
                </w:p>
              </w:tc>
              <w:tc>
                <w:tcPr>
                  <w:tcW w:w="730" w:type="dxa"/>
                  <w:vMerge w:val="continue"/>
                  <w:vAlign w:val="center"/>
                </w:tcPr>
                <w:p>
                  <w:pPr>
                    <w:widowControl/>
                    <w:jc w:val="center"/>
                    <w:rPr>
                      <w:rFonts w:hint="eastAsia" w:ascii="宋体" w:hAnsi="宋体" w:eastAsia="宋体" w:cs="宋体"/>
                      <w:spacing w:val="8"/>
                      <w:kern w:val="0"/>
                      <w:sz w:val="18"/>
                      <w:szCs w:val="18"/>
                    </w:rPr>
                  </w:pPr>
                </w:p>
              </w:tc>
              <w:tc>
                <w:tcPr>
                  <w:tcW w:w="1242" w:type="dxa"/>
                  <w:vMerge w:val="continue"/>
                  <w:vAlign w:val="center"/>
                </w:tcPr>
                <w:p>
                  <w:pPr>
                    <w:widowControl/>
                    <w:jc w:val="center"/>
                    <w:rPr>
                      <w:rFonts w:hint="eastAsia" w:ascii="宋体" w:hAnsi="宋体" w:eastAsia="宋体" w:cs="宋体"/>
                      <w:spacing w:val="8"/>
                      <w:kern w:val="0"/>
                      <w:sz w:val="18"/>
                      <w:szCs w:val="18"/>
                    </w:rPr>
                  </w:pPr>
                </w:p>
              </w:tc>
              <w:tc>
                <w:tcPr>
                  <w:tcW w:w="998"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continue"/>
                  <w:vAlign w:val="center"/>
                </w:tcPr>
                <w:p>
                  <w:pPr>
                    <w:widowControl/>
                    <w:jc w:val="center"/>
                    <w:rPr>
                      <w:rFonts w:hint="eastAsia" w:ascii="宋体" w:hAnsi="宋体" w:eastAsia="宋体" w:cs="宋体"/>
                      <w:spacing w:val="8"/>
                      <w:kern w:val="0"/>
                      <w:sz w:val="18"/>
                      <w:szCs w:val="18"/>
                    </w:rPr>
                  </w:pPr>
                </w:p>
              </w:tc>
              <w:tc>
                <w:tcPr>
                  <w:tcW w:w="839" w:type="dxa"/>
                  <w:vMerge w:val="continue"/>
                  <w:vAlign w:val="center"/>
                </w:tcPr>
                <w:p>
                  <w:pPr>
                    <w:widowControl/>
                    <w:jc w:val="center"/>
                    <w:rPr>
                      <w:rFonts w:hint="eastAsia" w:ascii="宋体" w:hAnsi="宋体" w:eastAsia="宋体" w:cs="宋体"/>
                      <w:spacing w:val="8"/>
                      <w:kern w:val="0"/>
                      <w:sz w:val="18"/>
                      <w:szCs w:val="18"/>
                    </w:rPr>
                  </w:pPr>
                </w:p>
              </w:tc>
              <w:tc>
                <w:tcPr>
                  <w:tcW w:w="1074" w:type="dxa"/>
                  <w:vMerge w:val="continue"/>
                </w:tcPr>
                <w:p>
                  <w:pPr>
                    <w:widowControl/>
                    <w:jc w:val="center"/>
                    <w:rPr>
                      <w:rFonts w:hint="eastAsia" w:ascii="宋体" w:hAnsi="宋体" w:eastAsia="宋体" w:cs="宋体"/>
                      <w:spacing w:val="8"/>
                      <w:kern w:val="0"/>
                      <w:sz w:val="18"/>
                      <w:szCs w:val="18"/>
                    </w:rPr>
                  </w:pPr>
                </w:p>
              </w:tc>
              <w:tc>
                <w:tcPr>
                  <w:tcW w:w="756" w:type="dxa"/>
                  <w:vMerge w:val="continue"/>
                </w:tcPr>
                <w:p>
                  <w:pPr>
                    <w:widowControl/>
                    <w:jc w:val="center"/>
                    <w:rPr>
                      <w:rFonts w:hint="eastAsia" w:ascii="宋体" w:hAnsi="宋体" w:eastAsia="宋体" w:cs="宋体"/>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977" w:type="dxa"/>
                  <w:vMerge w:val="continue"/>
                  <w:vAlign w:val="center"/>
                </w:tcPr>
                <w:p>
                  <w:pPr>
                    <w:widowControl/>
                    <w:jc w:val="center"/>
                    <w:rPr>
                      <w:rFonts w:hint="eastAsia" w:ascii="宋体" w:hAnsi="宋体" w:eastAsia="宋体" w:cs="宋体"/>
                      <w:spacing w:val="8"/>
                      <w:kern w:val="0"/>
                      <w:sz w:val="18"/>
                      <w:szCs w:val="18"/>
                    </w:rPr>
                  </w:pPr>
                </w:p>
              </w:tc>
              <w:tc>
                <w:tcPr>
                  <w:tcW w:w="678" w:type="dxa"/>
                  <w:vAlign w:val="center"/>
                </w:tcPr>
                <w:p>
                  <w:pPr>
                    <w:ind w:left="-105" w:leftChars="-50" w:right="-105" w:rightChars="-50"/>
                    <w:jc w:val="center"/>
                    <w:rPr>
                      <w:rFonts w:hint="eastAsia" w:ascii="宋体" w:hAnsi="宋体" w:eastAsia="宋体" w:cs="宋体"/>
                      <w:sz w:val="18"/>
                      <w:szCs w:val="18"/>
                    </w:rPr>
                  </w:pPr>
                  <w:r>
                    <w:rPr>
                      <w:rFonts w:hint="eastAsia" w:ascii="宋体" w:hAnsi="宋体" w:eastAsia="宋体" w:cs="宋体"/>
                      <w:sz w:val="18"/>
                      <w:szCs w:val="18"/>
                    </w:rPr>
                    <w:t>TN</w:t>
                  </w:r>
                </w:p>
              </w:tc>
              <w:tc>
                <w:tcPr>
                  <w:tcW w:w="730" w:type="dxa"/>
                  <w:vMerge w:val="continue"/>
                  <w:vAlign w:val="center"/>
                </w:tcPr>
                <w:p>
                  <w:pPr>
                    <w:widowControl/>
                    <w:jc w:val="center"/>
                    <w:rPr>
                      <w:rFonts w:hint="eastAsia" w:ascii="宋体" w:hAnsi="宋体" w:eastAsia="宋体" w:cs="宋体"/>
                      <w:spacing w:val="8"/>
                      <w:kern w:val="0"/>
                      <w:sz w:val="18"/>
                      <w:szCs w:val="18"/>
                    </w:rPr>
                  </w:pPr>
                </w:p>
              </w:tc>
              <w:tc>
                <w:tcPr>
                  <w:tcW w:w="1242" w:type="dxa"/>
                  <w:vMerge w:val="continue"/>
                  <w:vAlign w:val="center"/>
                </w:tcPr>
                <w:p>
                  <w:pPr>
                    <w:widowControl/>
                    <w:jc w:val="center"/>
                    <w:rPr>
                      <w:rFonts w:hint="eastAsia" w:ascii="宋体" w:hAnsi="宋体" w:eastAsia="宋体" w:cs="宋体"/>
                      <w:spacing w:val="8"/>
                      <w:kern w:val="0"/>
                      <w:sz w:val="18"/>
                      <w:szCs w:val="18"/>
                    </w:rPr>
                  </w:pPr>
                </w:p>
              </w:tc>
              <w:tc>
                <w:tcPr>
                  <w:tcW w:w="998"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continue"/>
                  <w:vAlign w:val="center"/>
                </w:tcPr>
                <w:p>
                  <w:pPr>
                    <w:widowControl/>
                    <w:jc w:val="center"/>
                    <w:rPr>
                      <w:rFonts w:hint="eastAsia" w:ascii="宋体" w:hAnsi="宋体" w:eastAsia="宋体" w:cs="宋体"/>
                      <w:spacing w:val="8"/>
                      <w:kern w:val="0"/>
                      <w:sz w:val="18"/>
                      <w:szCs w:val="18"/>
                    </w:rPr>
                  </w:pPr>
                </w:p>
              </w:tc>
              <w:tc>
                <w:tcPr>
                  <w:tcW w:w="839" w:type="dxa"/>
                  <w:vMerge w:val="continue"/>
                  <w:vAlign w:val="center"/>
                </w:tcPr>
                <w:p>
                  <w:pPr>
                    <w:widowControl/>
                    <w:jc w:val="center"/>
                    <w:rPr>
                      <w:rFonts w:hint="eastAsia" w:ascii="宋体" w:hAnsi="宋体" w:eastAsia="宋体" w:cs="宋体"/>
                      <w:spacing w:val="8"/>
                      <w:kern w:val="0"/>
                      <w:sz w:val="18"/>
                      <w:szCs w:val="18"/>
                    </w:rPr>
                  </w:pPr>
                </w:p>
              </w:tc>
              <w:tc>
                <w:tcPr>
                  <w:tcW w:w="1074" w:type="dxa"/>
                  <w:vMerge w:val="continue"/>
                </w:tcPr>
                <w:p>
                  <w:pPr>
                    <w:widowControl/>
                    <w:jc w:val="center"/>
                    <w:rPr>
                      <w:rFonts w:hint="eastAsia" w:ascii="宋体" w:hAnsi="宋体" w:eastAsia="宋体" w:cs="宋体"/>
                      <w:spacing w:val="8"/>
                      <w:kern w:val="0"/>
                      <w:sz w:val="18"/>
                      <w:szCs w:val="18"/>
                    </w:rPr>
                  </w:pPr>
                </w:p>
              </w:tc>
              <w:tc>
                <w:tcPr>
                  <w:tcW w:w="756" w:type="dxa"/>
                  <w:vMerge w:val="continue"/>
                </w:tcPr>
                <w:p>
                  <w:pPr>
                    <w:widowControl/>
                    <w:jc w:val="center"/>
                    <w:rPr>
                      <w:rFonts w:hint="eastAsia" w:ascii="宋体" w:hAnsi="宋体" w:eastAsia="宋体" w:cs="宋体"/>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977" w:type="dxa"/>
                  <w:vMerge w:val="continue"/>
                  <w:vAlign w:val="center"/>
                </w:tcPr>
                <w:p>
                  <w:pPr>
                    <w:widowControl/>
                    <w:jc w:val="center"/>
                    <w:rPr>
                      <w:rFonts w:hint="eastAsia" w:ascii="宋体" w:hAnsi="宋体" w:eastAsia="宋体" w:cs="宋体"/>
                      <w:spacing w:val="8"/>
                      <w:kern w:val="0"/>
                      <w:sz w:val="18"/>
                      <w:szCs w:val="18"/>
                    </w:rPr>
                  </w:pPr>
                </w:p>
              </w:tc>
              <w:tc>
                <w:tcPr>
                  <w:tcW w:w="678" w:type="dxa"/>
                  <w:vAlign w:val="center"/>
                </w:tcPr>
                <w:p>
                  <w:pPr>
                    <w:ind w:left="-210" w:leftChars="-100" w:right="-210" w:rightChars="-100"/>
                    <w:jc w:val="center"/>
                    <w:rPr>
                      <w:rFonts w:hint="eastAsia" w:ascii="宋体" w:hAnsi="宋体" w:eastAsia="宋体" w:cs="宋体"/>
                      <w:sz w:val="18"/>
                      <w:szCs w:val="18"/>
                    </w:rPr>
                  </w:pPr>
                  <w:r>
                    <w:rPr>
                      <w:rFonts w:hint="eastAsia" w:ascii="宋体" w:hAnsi="宋体" w:eastAsia="宋体" w:cs="宋体"/>
                      <w:sz w:val="18"/>
                      <w:szCs w:val="18"/>
                    </w:rPr>
                    <w:t>TP</w:t>
                  </w:r>
                </w:p>
              </w:tc>
              <w:tc>
                <w:tcPr>
                  <w:tcW w:w="730" w:type="dxa"/>
                  <w:vMerge w:val="continue"/>
                  <w:vAlign w:val="center"/>
                </w:tcPr>
                <w:p>
                  <w:pPr>
                    <w:widowControl/>
                    <w:jc w:val="center"/>
                    <w:rPr>
                      <w:rFonts w:hint="eastAsia" w:ascii="宋体" w:hAnsi="宋体" w:eastAsia="宋体" w:cs="宋体"/>
                      <w:spacing w:val="8"/>
                      <w:kern w:val="0"/>
                      <w:sz w:val="18"/>
                      <w:szCs w:val="18"/>
                    </w:rPr>
                  </w:pPr>
                </w:p>
              </w:tc>
              <w:tc>
                <w:tcPr>
                  <w:tcW w:w="1242" w:type="dxa"/>
                  <w:vMerge w:val="continue"/>
                  <w:vAlign w:val="center"/>
                </w:tcPr>
                <w:p>
                  <w:pPr>
                    <w:widowControl/>
                    <w:jc w:val="center"/>
                    <w:rPr>
                      <w:rFonts w:hint="eastAsia" w:ascii="宋体" w:hAnsi="宋体" w:eastAsia="宋体" w:cs="宋体"/>
                      <w:spacing w:val="8"/>
                      <w:kern w:val="0"/>
                      <w:sz w:val="18"/>
                      <w:szCs w:val="18"/>
                    </w:rPr>
                  </w:pPr>
                </w:p>
              </w:tc>
              <w:tc>
                <w:tcPr>
                  <w:tcW w:w="998"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continue"/>
                  <w:vAlign w:val="center"/>
                </w:tcPr>
                <w:p>
                  <w:pPr>
                    <w:widowControl/>
                    <w:jc w:val="center"/>
                    <w:rPr>
                      <w:rFonts w:hint="eastAsia" w:ascii="宋体" w:hAnsi="宋体" w:eastAsia="宋体" w:cs="宋体"/>
                      <w:spacing w:val="8"/>
                      <w:kern w:val="0"/>
                      <w:sz w:val="18"/>
                      <w:szCs w:val="18"/>
                    </w:rPr>
                  </w:pPr>
                </w:p>
              </w:tc>
              <w:tc>
                <w:tcPr>
                  <w:tcW w:w="839" w:type="dxa"/>
                  <w:vMerge w:val="continue"/>
                  <w:vAlign w:val="center"/>
                </w:tcPr>
                <w:p>
                  <w:pPr>
                    <w:widowControl/>
                    <w:jc w:val="center"/>
                    <w:rPr>
                      <w:rFonts w:hint="eastAsia" w:ascii="宋体" w:hAnsi="宋体" w:eastAsia="宋体" w:cs="宋体"/>
                      <w:spacing w:val="8"/>
                      <w:kern w:val="0"/>
                      <w:sz w:val="18"/>
                      <w:szCs w:val="18"/>
                    </w:rPr>
                  </w:pPr>
                </w:p>
              </w:tc>
              <w:tc>
                <w:tcPr>
                  <w:tcW w:w="1074" w:type="dxa"/>
                  <w:vMerge w:val="continue"/>
                  <w:vAlign w:val="center"/>
                </w:tcPr>
                <w:p>
                  <w:pPr>
                    <w:widowControl/>
                    <w:jc w:val="center"/>
                    <w:rPr>
                      <w:rFonts w:hint="eastAsia" w:ascii="宋体" w:hAnsi="宋体" w:eastAsia="宋体" w:cs="宋体"/>
                      <w:spacing w:val="8"/>
                      <w:kern w:val="0"/>
                      <w:sz w:val="18"/>
                      <w:szCs w:val="18"/>
                    </w:rPr>
                  </w:pPr>
                </w:p>
              </w:tc>
              <w:tc>
                <w:tcPr>
                  <w:tcW w:w="756" w:type="dxa"/>
                  <w:vMerge w:val="continue"/>
                  <w:vAlign w:val="center"/>
                </w:tcPr>
                <w:p>
                  <w:pPr>
                    <w:widowControl/>
                    <w:jc w:val="center"/>
                    <w:rPr>
                      <w:rFonts w:hint="eastAsia" w:ascii="宋体" w:hAnsi="宋体" w:eastAsia="宋体" w:cs="宋体"/>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977" w:type="dxa"/>
                  <w:vMerge w:val="restart"/>
                  <w:vAlign w:val="center"/>
                </w:tcPr>
                <w:p>
                  <w:pPr>
                    <w:widowControl/>
                    <w:jc w:val="center"/>
                    <w:rPr>
                      <w:rFonts w:hint="eastAsia" w:ascii="宋体" w:hAnsi="宋体" w:eastAsia="宋体" w:cs="宋体"/>
                      <w:spacing w:val="8"/>
                      <w:kern w:val="0"/>
                      <w:sz w:val="18"/>
                      <w:szCs w:val="18"/>
                      <w:lang w:val="en-US" w:eastAsia="zh-CN"/>
                    </w:rPr>
                  </w:pPr>
                  <w:r>
                    <w:rPr>
                      <w:rFonts w:hint="eastAsia" w:ascii="宋体" w:hAnsi="宋体" w:eastAsia="宋体" w:cs="宋体"/>
                      <w:spacing w:val="8"/>
                      <w:kern w:val="0"/>
                      <w:sz w:val="18"/>
                      <w:szCs w:val="18"/>
                      <w:lang w:val="en-US" w:eastAsia="zh-CN"/>
                    </w:rPr>
                    <w:t>医疗废水</w:t>
                  </w:r>
                </w:p>
              </w:tc>
              <w:tc>
                <w:tcPr>
                  <w:tcW w:w="67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en-US"/>
                    </w:rPr>
                    <w:t>COD</w:t>
                  </w:r>
                </w:p>
              </w:tc>
              <w:tc>
                <w:tcPr>
                  <w:tcW w:w="730" w:type="dxa"/>
                  <w:vMerge w:val="continue"/>
                  <w:vAlign w:val="center"/>
                </w:tcPr>
                <w:p>
                  <w:pPr>
                    <w:widowControl/>
                    <w:jc w:val="center"/>
                    <w:rPr>
                      <w:rFonts w:hint="eastAsia" w:ascii="宋体" w:hAnsi="宋体" w:eastAsia="宋体" w:cs="宋体"/>
                      <w:spacing w:val="8"/>
                      <w:kern w:val="0"/>
                      <w:sz w:val="18"/>
                      <w:szCs w:val="18"/>
                    </w:rPr>
                  </w:pPr>
                </w:p>
              </w:tc>
              <w:tc>
                <w:tcPr>
                  <w:tcW w:w="1242" w:type="dxa"/>
                  <w:vMerge w:val="continue"/>
                  <w:vAlign w:val="center"/>
                </w:tcPr>
                <w:p>
                  <w:pPr>
                    <w:widowControl/>
                    <w:jc w:val="center"/>
                    <w:rPr>
                      <w:rFonts w:hint="eastAsia" w:ascii="宋体" w:hAnsi="宋体" w:eastAsia="宋体" w:cs="宋体"/>
                      <w:spacing w:val="8"/>
                      <w:kern w:val="0"/>
                      <w:sz w:val="18"/>
                      <w:szCs w:val="18"/>
                    </w:rPr>
                  </w:pPr>
                </w:p>
              </w:tc>
              <w:tc>
                <w:tcPr>
                  <w:tcW w:w="998"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restart"/>
                  <w:vAlign w:val="center"/>
                </w:tcPr>
                <w:p>
                  <w:pPr>
                    <w:widowControl/>
                    <w:jc w:val="center"/>
                    <w:rPr>
                      <w:rFonts w:hint="eastAsia" w:ascii="宋体" w:hAnsi="宋体" w:eastAsia="宋体" w:cs="宋体"/>
                      <w:spacing w:val="8"/>
                      <w:kern w:val="0"/>
                      <w:sz w:val="18"/>
                      <w:szCs w:val="18"/>
                      <w:lang w:val="en-US" w:eastAsia="zh-CN"/>
                    </w:rPr>
                  </w:pPr>
                  <w:r>
                    <w:rPr>
                      <w:rFonts w:hint="eastAsia" w:ascii="宋体" w:hAnsi="宋体" w:eastAsia="宋体" w:cs="宋体"/>
                      <w:spacing w:val="8"/>
                      <w:kern w:val="0"/>
                      <w:sz w:val="18"/>
                      <w:szCs w:val="18"/>
                      <w:lang w:val="en-US" w:eastAsia="zh-CN"/>
                    </w:rPr>
                    <w:t>消毒设备</w:t>
                  </w:r>
                </w:p>
              </w:tc>
              <w:tc>
                <w:tcPr>
                  <w:tcW w:w="784" w:type="dxa"/>
                  <w:vMerge w:val="restart"/>
                  <w:vAlign w:val="center"/>
                </w:tcPr>
                <w:p>
                  <w:pPr>
                    <w:widowControl/>
                    <w:jc w:val="center"/>
                    <w:rPr>
                      <w:rFonts w:hint="eastAsia" w:ascii="宋体" w:hAnsi="宋体" w:eastAsia="宋体" w:cs="宋体"/>
                      <w:spacing w:val="8"/>
                      <w:kern w:val="0"/>
                      <w:sz w:val="18"/>
                      <w:szCs w:val="18"/>
                    </w:rPr>
                  </w:pPr>
                  <w:r>
                    <w:rPr>
                      <w:rFonts w:hint="eastAsia" w:ascii="宋体" w:hAnsi="宋体" w:eastAsia="宋体" w:cs="宋体"/>
                      <w:spacing w:val="8"/>
                      <w:kern w:val="0"/>
                      <w:sz w:val="18"/>
                      <w:szCs w:val="18"/>
                    </w:rPr>
                    <w:t>强氯高效消毒剂</w:t>
                  </w:r>
                </w:p>
              </w:tc>
              <w:tc>
                <w:tcPr>
                  <w:tcW w:w="839" w:type="dxa"/>
                  <w:vMerge w:val="continue"/>
                  <w:vAlign w:val="center"/>
                </w:tcPr>
                <w:p>
                  <w:pPr>
                    <w:widowControl/>
                    <w:jc w:val="center"/>
                    <w:rPr>
                      <w:rFonts w:hint="eastAsia" w:ascii="宋体" w:hAnsi="宋体" w:eastAsia="宋体" w:cs="宋体"/>
                      <w:spacing w:val="8"/>
                      <w:kern w:val="0"/>
                      <w:sz w:val="18"/>
                      <w:szCs w:val="18"/>
                    </w:rPr>
                  </w:pPr>
                </w:p>
              </w:tc>
              <w:tc>
                <w:tcPr>
                  <w:tcW w:w="1074" w:type="dxa"/>
                  <w:vMerge w:val="continue"/>
                  <w:vAlign w:val="center"/>
                </w:tcPr>
                <w:p>
                  <w:pPr>
                    <w:widowControl/>
                    <w:jc w:val="center"/>
                    <w:rPr>
                      <w:rFonts w:hint="eastAsia" w:ascii="宋体" w:hAnsi="宋体" w:eastAsia="宋体" w:cs="宋体"/>
                      <w:spacing w:val="8"/>
                      <w:kern w:val="0"/>
                      <w:sz w:val="18"/>
                      <w:szCs w:val="18"/>
                    </w:rPr>
                  </w:pPr>
                </w:p>
              </w:tc>
              <w:tc>
                <w:tcPr>
                  <w:tcW w:w="756" w:type="dxa"/>
                  <w:vMerge w:val="continue"/>
                  <w:vAlign w:val="center"/>
                </w:tcPr>
                <w:p>
                  <w:pPr>
                    <w:widowControl/>
                    <w:jc w:val="center"/>
                    <w:rPr>
                      <w:rFonts w:hint="eastAsia" w:ascii="宋体" w:hAnsi="宋体" w:eastAsia="宋体" w:cs="宋体"/>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977" w:type="dxa"/>
                  <w:vMerge w:val="continue"/>
                  <w:vAlign w:val="center"/>
                </w:tcPr>
                <w:p>
                  <w:pPr>
                    <w:widowControl/>
                    <w:jc w:val="center"/>
                    <w:rPr>
                      <w:rFonts w:hint="eastAsia" w:ascii="宋体" w:hAnsi="宋体" w:eastAsia="宋体" w:cs="宋体"/>
                      <w:spacing w:val="8"/>
                      <w:kern w:val="0"/>
                      <w:sz w:val="18"/>
                      <w:szCs w:val="18"/>
                      <w:lang w:val="en-US" w:eastAsia="zh-CN"/>
                    </w:rPr>
                  </w:pPr>
                </w:p>
              </w:tc>
              <w:tc>
                <w:tcPr>
                  <w:tcW w:w="67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en-US"/>
                    </w:rPr>
                    <w:t>SS</w:t>
                  </w:r>
                </w:p>
              </w:tc>
              <w:tc>
                <w:tcPr>
                  <w:tcW w:w="730" w:type="dxa"/>
                  <w:vMerge w:val="continue"/>
                  <w:vAlign w:val="center"/>
                </w:tcPr>
                <w:p>
                  <w:pPr>
                    <w:widowControl/>
                    <w:jc w:val="center"/>
                    <w:rPr>
                      <w:rFonts w:hint="eastAsia" w:ascii="宋体" w:hAnsi="宋体" w:eastAsia="宋体" w:cs="宋体"/>
                      <w:spacing w:val="8"/>
                      <w:kern w:val="0"/>
                      <w:sz w:val="18"/>
                      <w:szCs w:val="18"/>
                    </w:rPr>
                  </w:pPr>
                </w:p>
              </w:tc>
              <w:tc>
                <w:tcPr>
                  <w:tcW w:w="1242" w:type="dxa"/>
                  <w:vMerge w:val="continue"/>
                  <w:vAlign w:val="center"/>
                </w:tcPr>
                <w:p>
                  <w:pPr>
                    <w:widowControl/>
                    <w:jc w:val="center"/>
                    <w:rPr>
                      <w:rFonts w:hint="eastAsia" w:ascii="宋体" w:hAnsi="宋体" w:eastAsia="宋体" w:cs="宋体"/>
                      <w:spacing w:val="8"/>
                      <w:kern w:val="0"/>
                      <w:sz w:val="18"/>
                      <w:szCs w:val="18"/>
                    </w:rPr>
                  </w:pPr>
                </w:p>
              </w:tc>
              <w:tc>
                <w:tcPr>
                  <w:tcW w:w="998"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continue"/>
                  <w:vAlign w:val="center"/>
                </w:tcPr>
                <w:p>
                  <w:pPr>
                    <w:widowControl/>
                    <w:jc w:val="center"/>
                    <w:rPr>
                      <w:rFonts w:hint="eastAsia" w:ascii="宋体" w:hAnsi="宋体" w:eastAsia="宋体" w:cs="宋体"/>
                      <w:spacing w:val="8"/>
                      <w:kern w:val="0"/>
                      <w:sz w:val="18"/>
                      <w:szCs w:val="18"/>
                      <w:lang w:val="en-US" w:eastAsia="zh-CN"/>
                    </w:rPr>
                  </w:pPr>
                </w:p>
              </w:tc>
              <w:tc>
                <w:tcPr>
                  <w:tcW w:w="784" w:type="dxa"/>
                  <w:vMerge w:val="continue"/>
                  <w:vAlign w:val="center"/>
                </w:tcPr>
                <w:p>
                  <w:pPr>
                    <w:widowControl/>
                    <w:jc w:val="center"/>
                    <w:rPr>
                      <w:rFonts w:hint="eastAsia" w:ascii="宋体" w:hAnsi="宋体" w:eastAsia="宋体" w:cs="宋体"/>
                      <w:spacing w:val="8"/>
                      <w:kern w:val="0"/>
                      <w:sz w:val="18"/>
                      <w:szCs w:val="18"/>
                    </w:rPr>
                  </w:pPr>
                </w:p>
              </w:tc>
              <w:tc>
                <w:tcPr>
                  <w:tcW w:w="839" w:type="dxa"/>
                  <w:vMerge w:val="continue"/>
                  <w:vAlign w:val="center"/>
                </w:tcPr>
                <w:p>
                  <w:pPr>
                    <w:widowControl/>
                    <w:jc w:val="center"/>
                    <w:rPr>
                      <w:rFonts w:hint="eastAsia" w:ascii="宋体" w:hAnsi="宋体" w:eastAsia="宋体" w:cs="宋体"/>
                      <w:spacing w:val="8"/>
                      <w:kern w:val="0"/>
                      <w:sz w:val="18"/>
                      <w:szCs w:val="18"/>
                    </w:rPr>
                  </w:pPr>
                </w:p>
              </w:tc>
              <w:tc>
                <w:tcPr>
                  <w:tcW w:w="1074" w:type="dxa"/>
                  <w:vMerge w:val="continue"/>
                  <w:vAlign w:val="center"/>
                </w:tcPr>
                <w:p>
                  <w:pPr>
                    <w:widowControl/>
                    <w:jc w:val="center"/>
                    <w:rPr>
                      <w:rFonts w:hint="eastAsia" w:ascii="宋体" w:hAnsi="宋体" w:eastAsia="宋体" w:cs="宋体"/>
                      <w:spacing w:val="8"/>
                      <w:kern w:val="0"/>
                      <w:sz w:val="18"/>
                      <w:szCs w:val="18"/>
                    </w:rPr>
                  </w:pPr>
                </w:p>
              </w:tc>
              <w:tc>
                <w:tcPr>
                  <w:tcW w:w="756" w:type="dxa"/>
                  <w:vMerge w:val="continue"/>
                  <w:vAlign w:val="center"/>
                </w:tcPr>
                <w:p>
                  <w:pPr>
                    <w:widowControl/>
                    <w:jc w:val="center"/>
                    <w:rPr>
                      <w:rFonts w:hint="eastAsia" w:ascii="宋体" w:hAnsi="宋体" w:eastAsia="宋体" w:cs="宋体"/>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977" w:type="dxa"/>
                  <w:vMerge w:val="continue"/>
                  <w:vAlign w:val="center"/>
                </w:tcPr>
                <w:p>
                  <w:pPr>
                    <w:widowControl/>
                    <w:jc w:val="center"/>
                    <w:rPr>
                      <w:rFonts w:hint="eastAsia" w:ascii="宋体" w:hAnsi="宋体" w:eastAsia="宋体" w:cs="宋体"/>
                      <w:spacing w:val="8"/>
                      <w:kern w:val="0"/>
                      <w:sz w:val="18"/>
                      <w:szCs w:val="18"/>
                      <w:lang w:val="en-US" w:eastAsia="zh-CN"/>
                    </w:rPr>
                  </w:pPr>
                </w:p>
              </w:tc>
              <w:tc>
                <w:tcPr>
                  <w:tcW w:w="67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en-US"/>
                    </w:rPr>
                    <w:t>粪大肠菌群</w:t>
                  </w:r>
                </w:p>
              </w:tc>
              <w:tc>
                <w:tcPr>
                  <w:tcW w:w="730" w:type="dxa"/>
                  <w:vMerge w:val="continue"/>
                  <w:vAlign w:val="center"/>
                </w:tcPr>
                <w:p>
                  <w:pPr>
                    <w:widowControl/>
                    <w:jc w:val="center"/>
                    <w:rPr>
                      <w:rFonts w:hint="eastAsia" w:ascii="宋体" w:hAnsi="宋体" w:eastAsia="宋体" w:cs="宋体"/>
                      <w:spacing w:val="8"/>
                      <w:kern w:val="0"/>
                      <w:sz w:val="18"/>
                      <w:szCs w:val="18"/>
                    </w:rPr>
                  </w:pPr>
                </w:p>
              </w:tc>
              <w:tc>
                <w:tcPr>
                  <w:tcW w:w="1242" w:type="dxa"/>
                  <w:vMerge w:val="continue"/>
                  <w:vAlign w:val="center"/>
                </w:tcPr>
                <w:p>
                  <w:pPr>
                    <w:widowControl/>
                    <w:jc w:val="center"/>
                    <w:rPr>
                      <w:rFonts w:hint="eastAsia" w:ascii="宋体" w:hAnsi="宋体" w:eastAsia="宋体" w:cs="宋体"/>
                      <w:spacing w:val="8"/>
                      <w:kern w:val="0"/>
                      <w:sz w:val="18"/>
                      <w:szCs w:val="18"/>
                    </w:rPr>
                  </w:pPr>
                </w:p>
              </w:tc>
              <w:tc>
                <w:tcPr>
                  <w:tcW w:w="998"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continue"/>
                  <w:vAlign w:val="center"/>
                </w:tcPr>
                <w:p>
                  <w:pPr>
                    <w:widowControl/>
                    <w:jc w:val="center"/>
                    <w:rPr>
                      <w:rFonts w:hint="eastAsia" w:ascii="宋体" w:hAnsi="宋体" w:eastAsia="宋体" w:cs="宋体"/>
                      <w:spacing w:val="8"/>
                      <w:kern w:val="0"/>
                      <w:sz w:val="18"/>
                      <w:szCs w:val="18"/>
                      <w:lang w:val="en-US" w:eastAsia="zh-CN"/>
                    </w:rPr>
                  </w:pPr>
                </w:p>
              </w:tc>
              <w:tc>
                <w:tcPr>
                  <w:tcW w:w="784" w:type="dxa"/>
                  <w:vMerge w:val="continue"/>
                  <w:vAlign w:val="center"/>
                </w:tcPr>
                <w:p>
                  <w:pPr>
                    <w:widowControl/>
                    <w:jc w:val="center"/>
                    <w:rPr>
                      <w:rFonts w:hint="eastAsia" w:ascii="宋体" w:hAnsi="宋体" w:eastAsia="宋体" w:cs="宋体"/>
                      <w:spacing w:val="8"/>
                      <w:kern w:val="0"/>
                      <w:sz w:val="18"/>
                      <w:szCs w:val="18"/>
                    </w:rPr>
                  </w:pPr>
                </w:p>
              </w:tc>
              <w:tc>
                <w:tcPr>
                  <w:tcW w:w="839" w:type="dxa"/>
                  <w:vMerge w:val="continue"/>
                  <w:vAlign w:val="center"/>
                </w:tcPr>
                <w:p>
                  <w:pPr>
                    <w:widowControl/>
                    <w:jc w:val="center"/>
                    <w:rPr>
                      <w:rFonts w:hint="eastAsia" w:ascii="宋体" w:hAnsi="宋体" w:eastAsia="宋体" w:cs="宋体"/>
                      <w:spacing w:val="8"/>
                      <w:kern w:val="0"/>
                      <w:sz w:val="18"/>
                      <w:szCs w:val="18"/>
                    </w:rPr>
                  </w:pPr>
                </w:p>
              </w:tc>
              <w:tc>
                <w:tcPr>
                  <w:tcW w:w="1074" w:type="dxa"/>
                  <w:vMerge w:val="continue"/>
                  <w:vAlign w:val="center"/>
                </w:tcPr>
                <w:p>
                  <w:pPr>
                    <w:widowControl/>
                    <w:jc w:val="center"/>
                    <w:rPr>
                      <w:rFonts w:hint="eastAsia" w:ascii="宋体" w:hAnsi="宋体" w:eastAsia="宋体" w:cs="宋体"/>
                      <w:spacing w:val="8"/>
                      <w:kern w:val="0"/>
                      <w:sz w:val="18"/>
                      <w:szCs w:val="18"/>
                    </w:rPr>
                  </w:pPr>
                </w:p>
              </w:tc>
              <w:tc>
                <w:tcPr>
                  <w:tcW w:w="756" w:type="dxa"/>
                  <w:vMerge w:val="continue"/>
                  <w:vAlign w:val="center"/>
                </w:tcPr>
                <w:p>
                  <w:pPr>
                    <w:widowControl/>
                    <w:jc w:val="center"/>
                    <w:rPr>
                      <w:rFonts w:hint="eastAsia" w:ascii="宋体" w:hAnsi="宋体" w:eastAsia="宋体" w:cs="宋体"/>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977" w:type="dxa"/>
                  <w:vMerge w:val="continue"/>
                  <w:vAlign w:val="center"/>
                </w:tcPr>
                <w:p>
                  <w:pPr>
                    <w:widowControl/>
                    <w:jc w:val="center"/>
                    <w:rPr>
                      <w:rFonts w:hint="eastAsia" w:ascii="宋体" w:hAnsi="宋体" w:eastAsia="宋体" w:cs="宋体"/>
                      <w:spacing w:val="8"/>
                      <w:kern w:val="0"/>
                      <w:sz w:val="18"/>
                      <w:szCs w:val="18"/>
                      <w:lang w:val="en-US" w:eastAsia="zh-CN"/>
                    </w:rPr>
                  </w:pPr>
                </w:p>
              </w:tc>
              <w:tc>
                <w:tcPr>
                  <w:tcW w:w="67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zh-CN"/>
                    </w:rPr>
                    <w:t>LAS</w:t>
                  </w:r>
                </w:p>
              </w:tc>
              <w:tc>
                <w:tcPr>
                  <w:tcW w:w="730" w:type="dxa"/>
                  <w:vMerge w:val="continue"/>
                  <w:vAlign w:val="center"/>
                </w:tcPr>
                <w:p>
                  <w:pPr>
                    <w:widowControl/>
                    <w:jc w:val="center"/>
                    <w:rPr>
                      <w:rFonts w:hint="eastAsia" w:ascii="宋体" w:hAnsi="宋体" w:eastAsia="宋体" w:cs="宋体"/>
                      <w:spacing w:val="8"/>
                      <w:kern w:val="0"/>
                      <w:sz w:val="18"/>
                      <w:szCs w:val="18"/>
                    </w:rPr>
                  </w:pPr>
                </w:p>
              </w:tc>
              <w:tc>
                <w:tcPr>
                  <w:tcW w:w="1242" w:type="dxa"/>
                  <w:vMerge w:val="continue"/>
                  <w:vAlign w:val="center"/>
                </w:tcPr>
                <w:p>
                  <w:pPr>
                    <w:widowControl/>
                    <w:jc w:val="center"/>
                    <w:rPr>
                      <w:rFonts w:hint="eastAsia" w:ascii="宋体" w:hAnsi="宋体" w:eastAsia="宋体" w:cs="宋体"/>
                      <w:spacing w:val="8"/>
                      <w:kern w:val="0"/>
                      <w:sz w:val="18"/>
                      <w:szCs w:val="18"/>
                    </w:rPr>
                  </w:pPr>
                </w:p>
              </w:tc>
              <w:tc>
                <w:tcPr>
                  <w:tcW w:w="998"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continue"/>
                  <w:vAlign w:val="center"/>
                </w:tcPr>
                <w:p>
                  <w:pPr>
                    <w:widowControl/>
                    <w:jc w:val="center"/>
                    <w:rPr>
                      <w:rFonts w:hint="eastAsia" w:ascii="宋体" w:hAnsi="宋体" w:eastAsia="宋体" w:cs="宋体"/>
                      <w:spacing w:val="8"/>
                      <w:kern w:val="0"/>
                      <w:sz w:val="18"/>
                      <w:szCs w:val="18"/>
                      <w:lang w:val="en-US" w:eastAsia="zh-CN"/>
                    </w:rPr>
                  </w:pPr>
                </w:p>
              </w:tc>
              <w:tc>
                <w:tcPr>
                  <w:tcW w:w="784" w:type="dxa"/>
                  <w:vMerge w:val="continue"/>
                  <w:vAlign w:val="center"/>
                </w:tcPr>
                <w:p>
                  <w:pPr>
                    <w:widowControl/>
                    <w:jc w:val="center"/>
                    <w:rPr>
                      <w:rFonts w:hint="eastAsia" w:ascii="宋体" w:hAnsi="宋体" w:eastAsia="宋体" w:cs="宋体"/>
                      <w:spacing w:val="8"/>
                      <w:kern w:val="0"/>
                      <w:sz w:val="18"/>
                      <w:szCs w:val="18"/>
                    </w:rPr>
                  </w:pPr>
                </w:p>
              </w:tc>
              <w:tc>
                <w:tcPr>
                  <w:tcW w:w="839" w:type="dxa"/>
                  <w:vMerge w:val="continue"/>
                  <w:vAlign w:val="center"/>
                </w:tcPr>
                <w:p>
                  <w:pPr>
                    <w:widowControl/>
                    <w:jc w:val="center"/>
                    <w:rPr>
                      <w:rFonts w:hint="eastAsia" w:ascii="宋体" w:hAnsi="宋体" w:eastAsia="宋体" w:cs="宋体"/>
                      <w:spacing w:val="8"/>
                      <w:kern w:val="0"/>
                      <w:sz w:val="18"/>
                      <w:szCs w:val="18"/>
                    </w:rPr>
                  </w:pPr>
                </w:p>
              </w:tc>
              <w:tc>
                <w:tcPr>
                  <w:tcW w:w="1074" w:type="dxa"/>
                  <w:vMerge w:val="continue"/>
                  <w:vAlign w:val="center"/>
                </w:tcPr>
                <w:p>
                  <w:pPr>
                    <w:widowControl/>
                    <w:jc w:val="center"/>
                    <w:rPr>
                      <w:rFonts w:hint="eastAsia" w:ascii="宋体" w:hAnsi="宋体" w:eastAsia="宋体" w:cs="宋体"/>
                      <w:spacing w:val="8"/>
                      <w:kern w:val="0"/>
                      <w:sz w:val="18"/>
                      <w:szCs w:val="18"/>
                    </w:rPr>
                  </w:pPr>
                </w:p>
              </w:tc>
              <w:tc>
                <w:tcPr>
                  <w:tcW w:w="756" w:type="dxa"/>
                  <w:vMerge w:val="continue"/>
                  <w:vAlign w:val="center"/>
                </w:tcPr>
                <w:p>
                  <w:pPr>
                    <w:widowControl/>
                    <w:jc w:val="center"/>
                    <w:rPr>
                      <w:rFonts w:hint="eastAsia" w:ascii="宋体" w:hAnsi="宋体" w:eastAsia="宋体" w:cs="宋体"/>
                      <w:spacing w:val="8"/>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977" w:type="dxa"/>
                  <w:vMerge w:val="continue"/>
                  <w:vAlign w:val="center"/>
                </w:tcPr>
                <w:p>
                  <w:pPr>
                    <w:widowControl/>
                    <w:jc w:val="center"/>
                    <w:rPr>
                      <w:rFonts w:hint="eastAsia" w:ascii="宋体" w:hAnsi="宋体" w:eastAsia="宋体" w:cs="宋体"/>
                      <w:spacing w:val="8"/>
                      <w:kern w:val="0"/>
                      <w:sz w:val="18"/>
                      <w:szCs w:val="18"/>
                    </w:rPr>
                  </w:pPr>
                </w:p>
              </w:tc>
              <w:tc>
                <w:tcPr>
                  <w:tcW w:w="678"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lang w:val="en-US" w:eastAsia="en-US"/>
                    </w:rPr>
                    <w:t>总余氯</w:t>
                  </w:r>
                </w:p>
              </w:tc>
              <w:tc>
                <w:tcPr>
                  <w:tcW w:w="730" w:type="dxa"/>
                  <w:vMerge w:val="continue"/>
                  <w:vAlign w:val="center"/>
                </w:tcPr>
                <w:p>
                  <w:pPr>
                    <w:widowControl/>
                    <w:jc w:val="center"/>
                    <w:rPr>
                      <w:rFonts w:hint="eastAsia" w:ascii="宋体" w:hAnsi="宋体" w:eastAsia="宋体" w:cs="宋体"/>
                      <w:spacing w:val="8"/>
                      <w:kern w:val="0"/>
                      <w:sz w:val="18"/>
                      <w:szCs w:val="18"/>
                    </w:rPr>
                  </w:pPr>
                </w:p>
              </w:tc>
              <w:tc>
                <w:tcPr>
                  <w:tcW w:w="1242" w:type="dxa"/>
                  <w:vMerge w:val="continue"/>
                  <w:vAlign w:val="center"/>
                </w:tcPr>
                <w:p>
                  <w:pPr>
                    <w:widowControl/>
                    <w:jc w:val="center"/>
                    <w:rPr>
                      <w:rFonts w:hint="eastAsia" w:ascii="宋体" w:hAnsi="宋体" w:eastAsia="宋体" w:cs="宋体"/>
                      <w:spacing w:val="8"/>
                      <w:kern w:val="0"/>
                      <w:sz w:val="18"/>
                      <w:szCs w:val="18"/>
                    </w:rPr>
                  </w:pPr>
                </w:p>
              </w:tc>
              <w:tc>
                <w:tcPr>
                  <w:tcW w:w="998"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continue"/>
                  <w:vAlign w:val="center"/>
                </w:tcPr>
                <w:p>
                  <w:pPr>
                    <w:widowControl/>
                    <w:jc w:val="center"/>
                    <w:rPr>
                      <w:rFonts w:hint="eastAsia" w:ascii="宋体" w:hAnsi="宋体" w:eastAsia="宋体" w:cs="宋体"/>
                      <w:spacing w:val="8"/>
                      <w:kern w:val="0"/>
                      <w:sz w:val="18"/>
                      <w:szCs w:val="18"/>
                    </w:rPr>
                  </w:pPr>
                </w:p>
              </w:tc>
              <w:tc>
                <w:tcPr>
                  <w:tcW w:w="784" w:type="dxa"/>
                  <w:vMerge w:val="continue"/>
                  <w:vAlign w:val="center"/>
                </w:tcPr>
                <w:p>
                  <w:pPr>
                    <w:widowControl/>
                    <w:jc w:val="center"/>
                    <w:rPr>
                      <w:rFonts w:hint="eastAsia" w:ascii="宋体" w:hAnsi="宋体" w:eastAsia="宋体" w:cs="宋体"/>
                      <w:spacing w:val="8"/>
                      <w:kern w:val="0"/>
                      <w:sz w:val="18"/>
                      <w:szCs w:val="18"/>
                    </w:rPr>
                  </w:pPr>
                </w:p>
              </w:tc>
              <w:tc>
                <w:tcPr>
                  <w:tcW w:w="839" w:type="dxa"/>
                  <w:vMerge w:val="continue"/>
                  <w:vAlign w:val="center"/>
                </w:tcPr>
                <w:p>
                  <w:pPr>
                    <w:widowControl/>
                    <w:jc w:val="center"/>
                    <w:rPr>
                      <w:rFonts w:hint="eastAsia" w:ascii="宋体" w:hAnsi="宋体" w:eastAsia="宋体" w:cs="宋体"/>
                      <w:spacing w:val="8"/>
                      <w:kern w:val="0"/>
                      <w:sz w:val="18"/>
                      <w:szCs w:val="18"/>
                    </w:rPr>
                  </w:pPr>
                </w:p>
              </w:tc>
              <w:tc>
                <w:tcPr>
                  <w:tcW w:w="1074" w:type="dxa"/>
                  <w:vMerge w:val="continue"/>
                  <w:vAlign w:val="center"/>
                </w:tcPr>
                <w:p>
                  <w:pPr>
                    <w:widowControl/>
                    <w:jc w:val="center"/>
                    <w:rPr>
                      <w:rFonts w:hint="eastAsia" w:ascii="宋体" w:hAnsi="宋体" w:eastAsia="宋体" w:cs="宋体"/>
                      <w:spacing w:val="8"/>
                      <w:kern w:val="0"/>
                      <w:sz w:val="18"/>
                      <w:szCs w:val="18"/>
                    </w:rPr>
                  </w:pPr>
                </w:p>
              </w:tc>
              <w:tc>
                <w:tcPr>
                  <w:tcW w:w="756" w:type="dxa"/>
                  <w:vMerge w:val="continue"/>
                  <w:vAlign w:val="center"/>
                </w:tcPr>
                <w:p>
                  <w:pPr>
                    <w:widowControl/>
                    <w:jc w:val="center"/>
                    <w:rPr>
                      <w:rFonts w:hint="eastAsia" w:ascii="宋体" w:hAnsi="宋体" w:eastAsia="宋体" w:cs="宋体"/>
                      <w:spacing w:val="8"/>
                      <w:kern w:val="0"/>
                      <w:sz w:val="18"/>
                      <w:szCs w:val="18"/>
                    </w:rPr>
                  </w:pPr>
                </w:p>
              </w:tc>
            </w:tr>
          </w:tbl>
          <w:p>
            <w:pPr>
              <w:widowControl/>
              <w:shd w:val="clear" w:color="auto" w:fill="FFFFFF"/>
              <w:jc w:val="left"/>
              <w:rPr>
                <w:rFonts w:hint="default" w:ascii="Times New Roman" w:hAnsi="Times New Roman" w:cs="Times New Roman"/>
                <w:spacing w:val="8"/>
                <w:kern w:val="0"/>
                <w:sz w:val="21"/>
                <w:szCs w:val="21"/>
              </w:rPr>
            </w:pPr>
            <w:r>
              <w:rPr>
                <w:rFonts w:hint="default" w:ascii="Times New Roman" w:hAnsi="Times New Roman" w:cs="Times New Roman"/>
                <w:spacing w:val="8"/>
                <w:kern w:val="0"/>
                <w:sz w:val="21"/>
                <w:szCs w:val="21"/>
              </w:rPr>
              <w:t>（3）废水间接排放口基本情况见表4-</w:t>
            </w:r>
            <w:r>
              <w:rPr>
                <w:rFonts w:hint="default" w:ascii="Times New Roman" w:hAnsi="Times New Roman" w:cs="Times New Roman"/>
                <w:spacing w:val="8"/>
                <w:kern w:val="0"/>
                <w:sz w:val="21"/>
                <w:szCs w:val="21"/>
                <w:lang w:val="en-US" w:eastAsia="zh-CN"/>
              </w:rPr>
              <w:t>5</w:t>
            </w:r>
            <w:r>
              <w:rPr>
                <w:rFonts w:hint="default" w:ascii="Times New Roman" w:hAnsi="Times New Roman" w:cs="Times New Roman"/>
                <w:spacing w:val="8"/>
                <w:kern w:val="0"/>
                <w:sz w:val="21"/>
                <w:szCs w:val="21"/>
              </w:rPr>
              <w:t>。</w:t>
            </w:r>
          </w:p>
          <w:p>
            <w:pPr>
              <w:widowControl/>
              <w:shd w:val="clear" w:color="auto" w:fill="FFFFFF"/>
              <w:spacing w:line="360" w:lineRule="auto"/>
              <w:jc w:val="center"/>
              <w:rPr>
                <w:rFonts w:hint="default" w:ascii="Times New Roman" w:hAnsi="Times New Roman" w:cs="Times New Roman"/>
                <w:b/>
                <w:spacing w:val="8"/>
                <w:kern w:val="0"/>
                <w:sz w:val="21"/>
                <w:szCs w:val="21"/>
              </w:rPr>
            </w:pPr>
            <w:r>
              <w:rPr>
                <w:rFonts w:hint="default" w:ascii="Times New Roman" w:hAnsi="Times New Roman" w:cs="Times New Roman"/>
                <w:b/>
                <w:spacing w:val="8"/>
                <w:kern w:val="0"/>
                <w:sz w:val="21"/>
                <w:szCs w:val="21"/>
                <w:lang w:val="en-US" w:eastAsia="zh-CN"/>
              </w:rPr>
              <w:t xml:space="preserve"> </w:t>
            </w:r>
            <w:r>
              <w:rPr>
                <w:rFonts w:hint="default" w:ascii="Times New Roman" w:hAnsi="Times New Roman" w:cs="Times New Roman"/>
                <w:b/>
                <w:spacing w:val="8"/>
                <w:kern w:val="0"/>
                <w:sz w:val="21"/>
                <w:szCs w:val="21"/>
              </w:rPr>
              <w:t>表4-</w:t>
            </w:r>
            <w:r>
              <w:rPr>
                <w:rFonts w:hint="default" w:ascii="Times New Roman" w:hAnsi="Times New Roman" w:cs="Times New Roman"/>
                <w:b/>
                <w:spacing w:val="8"/>
                <w:kern w:val="0"/>
                <w:sz w:val="21"/>
                <w:szCs w:val="21"/>
                <w:lang w:val="en-US" w:eastAsia="zh-CN"/>
              </w:rPr>
              <w:t>5</w:t>
            </w:r>
            <w:r>
              <w:rPr>
                <w:rFonts w:hint="default" w:ascii="Times New Roman" w:hAnsi="Times New Roman" w:cs="Times New Roman"/>
                <w:b/>
                <w:spacing w:val="8"/>
                <w:kern w:val="0"/>
                <w:sz w:val="21"/>
                <w:szCs w:val="21"/>
              </w:rPr>
              <w:t>建设项目废水间接排放口基本情况表</w:t>
            </w:r>
          </w:p>
          <w:tbl>
            <w:tblPr>
              <w:tblStyle w:val="36"/>
              <w:tblW w:w="4998"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90"/>
              <w:gridCol w:w="1414"/>
              <w:gridCol w:w="1256"/>
              <w:gridCol w:w="3412"/>
              <w:gridCol w:w="209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4" w:hRule="atLeast"/>
                <w:jc w:val="center"/>
              </w:trPr>
              <w:tc>
                <w:tcPr>
                  <w:tcW w:w="389" w:type="pct"/>
                  <w:vMerge w:val="restart"/>
                  <w:vAlign w:val="center"/>
                </w:tcPr>
                <w:p>
                  <w:pPr>
                    <w:pStyle w:val="18"/>
                    <w:ind w:left="0" w:leftChars="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序号</w:t>
                  </w:r>
                </w:p>
              </w:tc>
              <w:tc>
                <w:tcPr>
                  <w:tcW w:w="797" w:type="pct"/>
                  <w:vMerge w:val="restart"/>
                  <w:vAlign w:val="center"/>
                </w:tcPr>
                <w:p>
                  <w:pPr>
                    <w:pStyle w:val="18"/>
                    <w:ind w:left="0" w:leftChars="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排放口编号</w:t>
                  </w:r>
                </w:p>
              </w:tc>
              <w:tc>
                <w:tcPr>
                  <w:tcW w:w="708" w:type="pct"/>
                  <w:vMerge w:val="restart"/>
                  <w:vAlign w:val="center"/>
                </w:tcPr>
                <w:p>
                  <w:pPr>
                    <w:pStyle w:val="18"/>
                    <w:ind w:left="0" w:leftChars="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污染物种类</w:t>
                  </w:r>
                </w:p>
              </w:tc>
              <w:tc>
                <w:tcPr>
                  <w:tcW w:w="3104" w:type="pct"/>
                  <w:gridSpan w:val="2"/>
                  <w:vAlign w:val="center"/>
                </w:tcPr>
                <w:p>
                  <w:pPr>
                    <w:pStyle w:val="18"/>
                    <w:keepNext w:val="0"/>
                    <w:keepLines w:val="0"/>
                    <w:pageBreakBefore w:val="0"/>
                    <w:widowControl w:val="0"/>
                    <w:kinsoku/>
                    <w:wordWrap/>
                    <w:overflowPunct/>
                    <w:topLinePunct w:val="0"/>
                    <w:autoSpaceDE/>
                    <w:autoSpaceDN/>
                    <w:bidi w:val="0"/>
                    <w:adjustRightInd/>
                    <w:snapToGrid/>
                    <w:spacing w:after="0"/>
                    <w:ind w:left="0" w:leftChars="0"/>
                    <w:jc w:val="center"/>
                    <w:textAlignment w:val="auto"/>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国家或地方污染物排放标准及其他按规定商定的排放协议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389" w:type="pct"/>
                  <w:vMerge w:val="continue"/>
                  <w:vAlign w:val="center"/>
                </w:tcPr>
                <w:p>
                  <w:pPr>
                    <w:pStyle w:val="18"/>
                    <w:ind w:firstLine="181"/>
                    <w:jc w:val="center"/>
                    <w:rPr>
                      <w:rFonts w:hint="default" w:ascii="Times New Roman" w:hAnsi="Times New Roman" w:eastAsia="宋体" w:cs="Times New Roman"/>
                      <w:b/>
                      <w:sz w:val="18"/>
                      <w:szCs w:val="18"/>
                    </w:rPr>
                  </w:pPr>
                </w:p>
              </w:tc>
              <w:tc>
                <w:tcPr>
                  <w:tcW w:w="797" w:type="pct"/>
                  <w:vMerge w:val="continue"/>
                  <w:vAlign w:val="center"/>
                </w:tcPr>
                <w:p>
                  <w:pPr>
                    <w:pStyle w:val="18"/>
                    <w:ind w:firstLine="181"/>
                    <w:jc w:val="center"/>
                    <w:rPr>
                      <w:rFonts w:hint="default" w:ascii="Times New Roman" w:hAnsi="Times New Roman" w:eastAsia="宋体" w:cs="Times New Roman"/>
                      <w:b/>
                      <w:sz w:val="18"/>
                      <w:szCs w:val="18"/>
                    </w:rPr>
                  </w:pPr>
                </w:p>
              </w:tc>
              <w:tc>
                <w:tcPr>
                  <w:tcW w:w="708" w:type="pct"/>
                  <w:vMerge w:val="continue"/>
                  <w:vAlign w:val="center"/>
                </w:tcPr>
                <w:p>
                  <w:pPr>
                    <w:pStyle w:val="18"/>
                    <w:ind w:firstLine="181"/>
                    <w:jc w:val="center"/>
                    <w:rPr>
                      <w:rFonts w:hint="default" w:ascii="Times New Roman" w:hAnsi="Times New Roman" w:eastAsia="宋体" w:cs="Times New Roman"/>
                      <w:b/>
                      <w:sz w:val="18"/>
                      <w:szCs w:val="18"/>
                    </w:rPr>
                  </w:pPr>
                </w:p>
              </w:tc>
              <w:tc>
                <w:tcPr>
                  <w:tcW w:w="1923" w:type="pct"/>
                  <w:vAlign w:val="center"/>
                </w:tcPr>
                <w:p>
                  <w:pPr>
                    <w:pStyle w:val="18"/>
                    <w:ind w:left="0" w:leftChars="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名称</w:t>
                  </w:r>
                </w:p>
              </w:tc>
              <w:tc>
                <w:tcPr>
                  <w:tcW w:w="1181" w:type="pct"/>
                  <w:vAlign w:val="center"/>
                </w:tcPr>
                <w:p>
                  <w:pPr>
                    <w:pStyle w:val="18"/>
                    <w:ind w:left="0" w:leftChars="0"/>
                    <w:jc w:val="center"/>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浓度限值/（mg/L）</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389" w:type="pct"/>
                  <w:vMerge w:val="restart"/>
                  <w:vAlign w:val="center"/>
                </w:tcPr>
                <w:p>
                  <w:pPr>
                    <w:pStyle w:val="18"/>
                    <w:ind w:left="0" w:leftChars="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w:t>
                  </w:r>
                </w:p>
              </w:tc>
              <w:tc>
                <w:tcPr>
                  <w:tcW w:w="797" w:type="pct"/>
                  <w:vMerge w:val="restart"/>
                  <w:vAlign w:val="center"/>
                </w:tcPr>
                <w:p>
                  <w:pPr>
                    <w:pStyle w:val="18"/>
                    <w:ind w:left="0" w:leftChars="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DW001</w:t>
                  </w:r>
                </w:p>
              </w:tc>
              <w:tc>
                <w:tcPr>
                  <w:tcW w:w="708" w:type="pct"/>
                  <w:vAlign w:val="center"/>
                </w:tcPr>
                <w:p>
                  <w:pPr>
                    <w:pStyle w:val="18"/>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pH</w:t>
                  </w:r>
                </w:p>
              </w:tc>
              <w:tc>
                <w:tcPr>
                  <w:tcW w:w="1923" w:type="pct"/>
                  <w:vMerge w:val="restart"/>
                  <w:vAlign w:val="center"/>
                </w:tcPr>
                <w:p>
                  <w:pPr>
                    <w:pStyle w:val="18"/>
                    <w:ind w:left="0" w:leftChars="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《污水综合排放标准》（GB8978-1996）表4中三级标准、《污水排入城镇下水道水质标准》（GB/T31962-2015）表1A级标准</w:t>
                  </w:r>
                </w:p>
              </w:tc>
              <w:tc>
                <w:tcPr>
                  <w:tcW w:w="1181" w:type="pct"/>
                  <w:vAlign w:val="center"/>
                </w:tcPr>
                <w:p>
                  <w:pPr>
                    <w:pStyle w:val="18"/>
                    <w:keepNext w:val="0"/>
                    <w:keepLines w:val="0"/>
                    <w:pageBreakBefore w:val="0"/>
                    <w:widowControl w:val="0"/>
                    <w:kinsoku/>
                    <w:wordWrap/>
                    <w:overflowPunct/>
                    <w:topLinePunct w:val="0"/>
                    <w:autoSpaceDE/>
                    <w:autoSpaceDN/>
                    <w:bidi w:val="0"/>
                    <w:adjustRightInd/>
                    <w:snapToGrid/>
                    <w:spacing w:after="0"/>
                    <w:ind w:left="0" w:left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6-9</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389" w:type="pct"/>
                  <w:vMerge w:val="continue"/>
                  <w:vAlign w:val="center"/>
                </w:tcPr>
                <w:p>
                  <w:pPr>
                    <w:pStyle w:val="18"/>
                    <w:ind w:firstLine="181"/>
                    <w:jc w:val="center"/>
                    <w:rPr>
                      <w:rFonts w:hint="default" w:ascii="Times New Roman" w:hAnsi="Times New Roman" w:eastAsia="宋体" w:cs="Times New Roman"/>
                      <w:sz w:val="18"/>
                      <w:szCs w:val="18"/>
                    </w:rPr>
                  </w:pPr>
                </w:p>
              </w:tc>
              <w:tc>
                <w:tcPr>
                  <w:tcW w:w="797" w:type="pct"/>
                  <w:vMerge w:val="continue"/>
                  <w:vAlign w:val="center"/>
                </w:tcPr>
                <w:p>
                  <w:pPr>
                    <w:pStyle w:val="18"/>
                    <w:ind w:firstLine="181"/>
                    <w:jc w:val="center"/>
                    <w:rPr>
                      <w:rFonts w:hint="default" w:ascii="Times New Roman" w:hAnsi="Times New Roman" w:eastAsia="宋体" w:cs="Times New Roman"/>
                      <w:sz w:val="18"/>
                      <w:szCs w:val="18"/>
                    </w:rPr>
                  </w:pPr>
                </w:p>
              </w:tc>
              <w:tc>
                <w:tcPr>
                  <w:tcW w:w="708" w:type="pct"/>
                  <w:vAlign w:val="center"/>
                </w:tcPr>
                <w:p>
                  <w:pPr>
                    <w:pStyle w:val="18"/>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COD</w:t>
                  </w:r>
                </w:p>
              </w:tc>
              <w:tc>
                <w:tcPr>
                  <w:tcW w:w="1923" w:type="pct"/>
                  <w:vMerge w:val="continue"/>
                  <w:vAlign w:val="center"/>
                </w:tcPr>
                <w:p>
                  <w:pPr>
                    <w:pStyle w:val="18"/>
                    <w:ind w:firstLine="181"/>
                    <w:jc w:val="center"/>
                    <w:rPr>
                      <w:rFonts w:hint="default" w:ascii="Times New Roman" w:hAnsi="Times New Roman" w:eastAsia="宋体" w:cs="Times New Roman"/>
                      <w:sz w:val="18"/>
                      <w:szCs w:val="18"/>
                    </w:rPr>
                  </w:pPr>
                </w:p>
              </w:tc>
              <w:tc>
                <w:tcPr>
                  <w:tcW w:w="1181" w:type="pct"/>
                  <w:vAlign w:val="center"/>
                </w:tcPr>
                <w:p>
                  <w:pPr>
                    <w:pStyle w:val="18"/>
                    <w:keepNext w:val="0"/>
                    <w:keepLines w:val="0"/>
                    <w:pageBreakBefore w:val="0"/>
                    <w:widowControl w:val="0"/>
                    <w:kinsoku/>
                    <w:wordWrap/>
                    <w:overflowPunct/>
                    <w:topLinePunct w:val="0"/>
                    <w:autoSpaceDE/>
                    <w:autoSpaceDN/>
                    <w:bidi w:val="0"/>
                    <w:adjustRightInd/>
                    <w:snapToGrid/>
                    <w:spacing w:after="0"/>
                    <w:ind w:left="0" w:left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389" w:type="pct"/>
                  <w:vMerge w:val="continue"/>
                  <w:vAlign w:val="center"/>
                </w:tcPr>
                <w:p>
                  <w:pPr>
                    <w:pStyle w:val="18"/>
                    <w:ind w:firstLine="181"/>
                    <w:jc w:val="center"/>
                    <w:rPr>
                      <w:rFonts w:hint="default" w:ascii="Times New Roman" w:hAnsi="Times New Roman" w:eastAsia="宋体" w:cs="Times New Roman"/>
                      <w:sz w:val="18"/>
                      <w:szCs w:val="18"/>
                    </w:rPr>
                  </w:pPr>
                </w:p>
              </w:tc>
              <w:tc>
                <w:tcPr>
                  <w:tcW w:w="797" w:type="pct"/>
                  <w:vMerge w:val="continue"/>
                  <w:vAlign w:val="center"/>
                </w:tcPr>
                <w:p>
                  <w:pPr>
                    <w:pStyle w:val="18"/>
                    <w:ind w:firstLine="181"/>
                    <w:jc w:val="center"/>
                    <w:rPr>
                      <w:rFonts w:hint="default" w:ascii="Times New Roman" w:hAnsi="Times New Roman" w:eastAsia="宋体" w:cs="Times New Roman"/>
                      <w:sz w:val="18"/>
                      <w:szCs w:val="18"/>
                    </w:rPr>
                  </w:pPr>
                </w:p>
              </w:tc>
              <w:tc>
                <w:tcPr>
                  <w:tcW w:w="708" w:type="pct"/>
                  <w:vAlign w:val="center"/>
                </w:tcPr>
                <w:p>
                  <w:pPr>
                    <w:pStyle w:val="18"/>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SS</w:t>
                  </w:r>
                </w:p>
              </w:tc>
              <w:tc>
                <w:tcPr>
                  <w:tcW w:w="1923" w:type="pct"/>
                  <w:vMerge w:val="continue"/>
                  <w:vAlign w:val="center"/>
                </w:tcPr>
                <w:p>
                  <w:pPr>
                    <w:pStyle w:val="18"/>
                    <w:ind w:firstLine="181"/>
                    <w:jc w:val="center"/>
                    <w:rPr>
                      <w:rFonts w:hint="default" w:ascii="Times New Roman" w:hAnsi="Times New Roman" w:eastAsia="宋体" w:cs="Times New Roman"/>
                      <w:sz w:val="18"/>
                      <w:szCs w:val="18"/>
                    </w:rPr>
                  </w:pPr>
                </w:p>
              </w:tc>
              <w:tc>
                <w:tcPr>
                  <w:tcW w:w="1181" w:type="pct"/>
                  <w:vAlign w:val="center"/>
                </w:tcPr>
                <w:p>
                  <w:pPr>
                    <w:pStyle w:val="18"/>
                    <w:keepNext w:val="0"/>
                    <w:keepLines w:val="0"/>
                    <w:pageBreakBefore w:val="0"/>
                    <w:widowControl w:val="0"/>
                    <w:kinsoku/>
                    <w:wordWrap/>
                    <w:overflowPunct/>
                    <w:topLinePunct w:val="0"/>
                    <w:autoSpaceDE/>
                    <w:autoSpaceDN/>
                    <w:bidi w:val="0"/>
                    <w:adjustRightInd/>
                    <w:snapToGrid/>
                    <w:spacing w:after="0"/>
                    <w:ind w:left="0" w:left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400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389" w:type="pct"/>
                  <w:vMerge w:val="continue"/>
                  <w:vAlign w:val="center"/>
                </w:tcPr>
                <w:p>
                  <w:pPr>
                    <w:pStyle w:val="18"/>
                    <w:ind w:firstLine="181"/>
                    <w:jc w:val="center"/>
                    <w:rPr>
                      <w:rFonts w:hint="default" w:ascii="Times New Roman" w:hAnsi="Times New Roman" w:eastAsia="宋体" w:cs="Times New Roman"/>
                      <w:sz w:val="18"/>
                      <w:szCs w:val="18"/>
                    </w:rPr>
                  </w:pPr>
                </w:p>
              </w:tc>
              <w:tc>
                <w:tcPr>
                  <w:tcW w:w="797" w:type="pct"/>
                  <w:vMerge w:val="continue"/>
                  <w:vAlign w:val="center"/>
                </w:tcPr>
                <w:p>
                  <w:pPr>
                    <w:pStyle w:val="18"/>
                    <w:ind w:firstLine="181"/>
                    <w:jc w:val="center"/>
                    <w:rPr>
                      <w:rFonts w:hint="default" w:ascii="Times New Roman" w:hAnsi="Times New Roman" w:eastAsia="宋体" w:cs="Times New Roman"/>
                      <w:sz w:val="18"/>
                      <w:szCs w:val="18"/>
                    </w:rPr>
                  </w:pPr>
                </w:p>
              </w:tc>
              <w:tc>
                <w:tcPr>
                  <w:tcW w:w="708" w:type="pct"/>
                  <w:vAlign w:val="center"/>
                </w:tcPr>
                <w:p>
                  <w:pPr>
                    <w:pStyle w:val="18"/>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氨氮</w:t>
                  </w:r>
                </w:p>
              </w:tc>
              <w:tc>
                <w:tcPr>
                  <w:tcW w:w="1923" w:type="pct"/>
                  <w:vMerge w:val="continue"/>
                  <w:vAlign w:val="center"/>
                </w:tcPr>
                <w:p>
                  <w:pPr>
                    <w:pStyle w:val="18"/>
                    <w:ind w:firstLine="181"/>
                    <w:jc w:val="center"/>
                    <w:rPr>
                      <w:rFonts w:hint="default" w:ascii="Times New Roman" w:hAnsi="Times New Roman" w:eastAsia="宋体" w:cs="Times New Roman"/>
                      <w:sz w:val="18"/>
                      <w:szCs w:val="18"/>
                    </w:rPr>
                  </w:pPr>
                </w:p>
              </w:tc>
              <w:tc>
                <w:tcPr>
                  <w:tcW w:w="1181" w:type="pct"/>
                  <w:vAlign w:val="center"/>
                </w:tcPr>
                <w:p>
                  <w:pPr>
                    <w:pStyle w:val="18"/>
                    <w:keepNext w:val="0"/>
                    <w:keepLines w:val="0"/>
                    <w:pageBreakBefore w:val="0"/>
                    <w:widowControl w:val="0"/>
                    <w:kinsoku/>
                    <w:wordWrap/>
                    <w:overflowPunct/>
                    <w:topLinePunct w:val="0"/>
                    <w:autoSpaceDE/>
                    <w:autoSpaceDN/>
                    <w:bidi w:val="0"/>
                    <w:adjustRightInd/>
                    <w:snapToGrid/>
                    <w:spacing w:after="0"/>
                    <w:ind w:left="0" w:left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45</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389" w:type="pct"/>
                  <w:vMerge w:val="continue"/>
                  <w:vAlign w:val="center"/>
                </w:tcPr>
                <w:p>
                  <w:pPr>
                    <w:pStyle w:val="18"/>
                    <w:ind w:firstLine="181"/>
                    <w:jc w:val="center"/>
                    <w:rPr>
                      <w:rFonts w:hint="default" w:ascii="Times New Roman" w:hAnsi="Times New Roman" w:eastAsia="宋体" w:cs="Times New Roman"/>
                      <w:sz w:val="18"/>
                      <w:szCs w:val="18"/>
                    </w:rPr>
                  </w:pPr>
                </w:p>
              </w:tc>
              <w:tc>
                <w:tcPr>
                  <w:tcW w:w="797" w:type="pct"/>
                  <w:vMerge w:val="continue"/>
                  <w:vAlign w:val="center"/>
                </w:tcPr>
                <w:p>
                  <w:pPr>
                    <w:pStyle w:val="18"/>
                    <w:ind w:firstLine="181"/>
                    <w:jc w:val="center"/>
                    <w:rPr>
                      <w:rFonts w:hint="default" w:ascii="Times New Roman" w:hAnsi="Times New Roman" w:eastAsia="宋体" w:cs="Times New Roman"/>
                      <w:sz w:val="18"/>
                      <w:szCs w:val="18"/>
                    </w:rPr>
                  </w:pPr>
                </w:p>
              </w:tc>
              <w:tc>
                <w:tcPr>
                  <w:tcW w:w="708" w:type="pct"/>
                  <w:vAlign w:val="center"/>
                </w:tcPr>
                <w:p>
                  <w:pPr>
                    <w:pStyle w:val="18"/>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总氮</w:t>
                  </w:r>
                </w:p>
              </w:tc>
              <w:tc>
                <w:tcPr>
                  <w:tcW w:w="1923" w:type="pct"/>
                  <w:vMerge w:val="continue"/>
                  <w:vAlign w:val="center"/>
                </w:tcPr>
                <w:p>
                  <w:pPr>
                    <w:pStyle w:val="18"/>
                    <w:ind w:firstLine="181"/>
                    <w:jc w:val="center"/>
                    <w:rPr>
                      <w:rFonts w:hint="default" w:ascii="Times New Roman" w:hAnsi="Times New Roman" w:eastAsia="宋体" w:cs="Times New Roman"/>
                      <w:sz w:val="18"/>
                      <w:szCs w:val="18"/>
                    </w:rPr>
                  </w:pPr>
                </w:p>
              </w:tc>
              <w:tc>
                <w:tcPr>
                  <w:tcW w:w="1181" w:type="pct"/>
                  <w:vAlign w:val="center"/>
                </w:tcPr>
                <w:p>
                  <w:pPr>
                    <w:pStyle w:val="18"/>
                    <w:keepNext w:val="0"/>
                    <w:keepLines w:val="0"/>
                    <w:pageBreakBefore w:val="0"/>
                    <w:widowControl w:val="0"/>
                    <w:kinsoku/>
                    <w:wordWrap/>
                    <w:overflowPunct/>
                    <w:topLinePunct w:val="0"/>
                    <w:autoSpaceDE/>
                    <w:autoSpaceDN/>
                    <w:bidi w:val="0"/>
                    <w:adjustRightInd/>
                    <w:snapToGrid/>
                    <w:spacing w:after="0"/>
                    <w:ind w:left="0" w:left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70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389" w:type="pct"/>
                  <w:vMerge w:val="continue"/>
                  <w:vAlign w:val="center"/>
                </w:tcPr>
                <w:p>
                  <w:pPr>
                    <w:pStyle w:val="18"/>
                    <w:ind w:firstLine="181"/>
                    <w:jc w:val="center"/>
                    <w:rPr>
                      <w:rFonts w:hint="default" w:ascii="Times New Roman" w:hAnsi="Times New Roman" w:eastAsia="宋体" w:cs="Times New Roman"/>
                      <w:sz w:val="18"/>
                      <w:szCs w:val="18"/>
                    </w:rPr>
                  </w:pPr>
                </w:p>
              </w:tc>
              <w:tc>
                <w:tcPr>
                  <w:tcW w:w="797" w:type="pct"/>
                  <w:vMerge w:val="continue"/>
                  <w:vAlign w:val="center"/>
                </w:tcPr>
                <w:p>
                  <w:pPr>
                    <w:pStyle w:val="18"/>
                    <w:ind w:firstLine="181"/>
                    <w:jc w:val="center"/>
                    <w:rPr>
                      <w:rFonts w:hint="default" w:ascii="Times New Roman" w:hAnsi="Times New Roman" w:eastAsia="宋体" w:cs="Times New Roman"/>
                      <w:sz w:val="18"/>
                      <w:szCs w:val="18"/>
                    </w:rPr>
                  </w:pPr>
                </w:p>
              </w:tc>
              <w:tc>
                <w:tcPr>
                  <w:tcW w:w="708" w:type="pct"/>
                  <w:vAlign w:val="center"/>
                </w:tcPr>
                <w:p>
                  <w:pPr>
                    <w:pStyle w:val="18"/>
                    <w:keepNext w:val="0"/>
                    <w:keepLines w:val="0"/>
                    <w:pageBreakBefore w:val="0"/>
                    <w:widowControl w:val="0"/>
                    <w:kinsoku/>
                    <w:wordWrap/>
                    <w:overflowPunct/>
                    <w:topLinePunct w:val="0"/>
                    <w:autoSpaceDE/>
                    <w:autoSpaceDN/>
                    <w:bidi w:val="0"/>
                    <w:adjustRightInd/>
                    <w:snapToGrid/>
                    <w:spacing w:after="0" w:line="240" w:lineRule="auto"/>
                    <w:ind w:left="0" w:left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总磷</w:t>
                  </w:r>
                </w:p>
              </w:tc>
              <w:tc>
                <w:tcPr>
                  <w:tcW w:w="1923" w:type="pct"/>
                  <w:vMerge w:val="continue"/>
                  <w:vAlign w:val="center"/>
                </w:tcPr>
                <w:p>
                  <w:pPr>
                    <w:pStyle w:val="18"/>
                    <w:ind w:firstLine="181"/>
                    <w:jc w:val="center"/>
                    <w:rPr>
                      <w:rFonts w:hint="default" w:ascii="Times New Roman" w:hAnsi="Times New Roman" w:eastAsia="宋体" w:cs="Times New Roman"/>
                      <w:sz w:val="18"/>
                      <w:szCs w:val="18"/>
                    </w:rPr>
                  </w:pPr>
                </w:p>
              </w:tc>
              <w:tc>
                <w:tcPr>
                  <w:tcW w:w="1181" w:type="pct"/>
                  <w:vAlign w:val="center"/>
                </w:tcPr>
                <w:p>
                  <w:pPr>
                    <w:pStyle w:val="18"/>
                    <w:keepNext w:val="0"/>
                    <w:keepLines w:val="0"/>
                    <w:pageBreakBefore w:val="0"/>
                    <w:widowControl w:val="0"/>
                    <w:kinsoku/>
                    <w:wordWrap/>
                    <w:overflowPunct/>
                    <w:topLinePunct w:val="0"/>
                    <w:autoSpaceDE/>
                    <w:autoSpaceDN/>
                    <w:bidi w:val="0"/>
                    <w:adjustRightInd/>
                    <w:snapToGrid/>
                    <w:spacing w:after="0"/>
                    <w:ind w:left="0" w:left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8</w:t>
                  </w:r>
                </w:p>
              </w:tc>
            </w:tr>
          </w:tbl>
          <w:p>
            <w:pPr>
              <w:widowControl/>
              <w:shd w:val="clear" w:color="auto" w:fill="FFFFFF"/>
              <w:spacing w:line="360" w:lineRule="auto"/>
              <w:jc w:val="left"/>
              <w:rPr>
                <w:rFonts w:hint="eastAsia" w:ascii="宋体" w:hAnsi="宋体" w:eastAsia="宋体" w:cs="宋体"/>
                <w:spacing w:val="8"/>
                <w:kern w:val="0"/>
                <w:sz w:val="21"/>
                <w:szCs w:val="21"/>
              </w:rPr>
            </w:pPr>
            <w:r>
              <w:rPr>
                <w:rFonts w:hint="eastAsia" w:ascii="宋体" w:hAnsi="宋体" w:eastAsia="宋体" w:cs="宋体"/>
                <w:spacing w:val="8"/>
                <w:kern w:val="0"/>
                <w:sz w:val="21"/>
                <w:szCs w:val="21"/>
              </w:rPr>
              <w:t>（4）依托污水处理厂可行性分析</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太仓市城东污水处理厂位于常胜路与外环一级公路交叉口西侧，占地40亩。该污水处理有限公司是经江苏省发展计划委员会立项批准建设的，污水处理有限公司设计规模为日处理污水4万吨，共分二期实施。其中首期工程总投资3250万元，日处理污水2万吨，总投资3250万元。工程从2003年4月20日开工建设，于2004年4月完工投入试运行。</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城东污水处理厂采用循环式活性污泥法（C-TECH）工艺进行水处理，循环式活性污泥工艺是在一个或多个平行运行且反应容积可变的池子中。完成生物降解和泥水分离过程。因此在该工艺中无须设置单独的沉淀池。在这一系统中，活性污泥法按照“曝气－非曝气”阶段不断重复进行。在曝气阶段主要完成生物降解过程，在非曝气阶段虽然也有部分生物作用，但主要是完成泥水分离过程。因此，循环式活性污泥法系统无须设置二沉池，可以省去传统活性污泥法中曝气池和二沉池之间的连接管道。完成泥水分离后，利用撇水堰排出每一操作循环中的处理出水。根据活性污泥法实际增殖情况，在每一处理循环的最后阶段（撇水阶段）自动排出剩余污泥。循环式活性污泥法工艺可以深度去除有机物（BOD、COD），通过硝化/反硝化过程去除大量的氮，同时完成生物除磷过程。其出水中氮和磷的浓度是很低的（通常可去除90％的磷）。</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污水处理有限公司进出水主要设计指标见下表，处理后可达《关于高质量推进城乡生活污水治理三年行动计划的实施意见》的通知（苏委办发</w:t>
            </w:r>
            <w:r>
              <w:rPr>
                <w:rFonts w:hint="eastAsia" w:ascii="宋体" w:hAnsi="宋体" w:eastAsia="宋体" w:cs="宋体"/>
                <w:sz w:val="21"/>
                <w:szCs w:val="21"/>
                <w:lang w:eastAsia="zh-CN"/>
              </w:rPr>
              <w:t>〔</w:t>
            </w:r>
            <w:r>
              <w:rPr>
                <w:rFonts w:hint="eastAsia" w:ascii="宋体" w:hAnsi="宋体" w:eastAsia="宋体" w:cs="宋体"/>
                <w:sz w:val="21"/>
                <w:szCs w:val="21"/>
              </w:rPr>
              <w:t>2018</w:t>
            </w:r>
            <w:r>
              <w:rPr>
                <w:rFonts w:hint="eastAsia" w:ascii="宋体" w:hAnsi="宋体" w:eastAsia="宋体" w:cs="宋体"/>
                <w:sz w:val="21"/>
                <w:szCs w:val="21"/>
                <w:lang w:eastAsia="zh-CN"/>
              </w:rPr>
              <w:t>〕</w:t>
            </w:r>
            <w:r>
              <w:rPr>
                <w:rFonts w:hint="eastAsia" w:ascii="宋体" w:hAnsi="宋体" w:eastAsia="宋体" w:cs="宋体"/>
                <w:sz w:val="21"/>
                <w:szCs w:val="21"/>
              </w:rPr>
              <w:t>77号）中苏州特别排放限值标准和《城镇污水处理厂污染物排放标准》（GB18918-2002）表1一级A标准。</w:t>
            </w:r>
          </w:p>
          <w:p>
            <w:pPr>
              <w:jc w:val="center"/>
              <w:rPr>
                <w:rFonts w:hint="eastAsia" w:ascii="宋体" w:hAnsi="宋体" w:eastAsia="宋体" w:cs="宋体"/>
                <w:b/>
                <w:sz w:val="21"/>
                <w:szCs w:val="21"/>
              </w:rPr>
            </w:pPr>
            <w:r>
              <w:rPr>
                <w:rFonts w:hint="eastAsia" w:ascii="宋体" w:hAnsi="宋体" w:eastAsia="宋体" w:cs="宋体"/>
                <w:b/>
                <w:sz w:val="21"/>
                <w:szCs w:val="21"/>
              </w:rPr>
              <w:t>表4-</w:t>
            </w:r>
            <w:r>
              <w:rPr>
                <w:rFonts w:hint="eastAsia" w:ascii="宋体" w:hAnsi="宋体" w:eastAsia="宋体" w:cs="宋体"/>
                <w:b/>
                <w:sz w:val="21"/>
                <w:szCs w:val="21"/>
                <w:lang w:val="en-US" w:eastAsia="zh-CN"/>
              </w:rPr>
              <w:t>6</w:t>
            </w:r>
            <w:r>
              <w:rPr>
                <w:rFonts w:hint="eastAsia" w:ascii="宋体" w:hAnsi="宋体" w:eastAsia="宋体" w:cs="宋体"/>
                <w:b/>
                <w:sz w:val="21"/>
                <w:szCs w:val="21"/>
              </w:rPr>
              <w:t>污水处理厂出水水质指标单位：mg/l</w:t>
            </w:r>
          </w:p>
          <w:tbl>
            <w:tblPr>
              <w:tblStyle w:val="36"/>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79"/>
              <w:gridCol w:w="1831"/>
              <w:gridCol w:w="1823"/>
              <w:gridCol w:w="1823"/>
              <w:gridCol w:w="1816"/>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90" w:type="pct"/>
                  <w:tcBorders>
                    <w:top w:val="single" w:color="auto" w:sz="12" w:space="0"/>
                    <w:left w:val="nil"/>
                    <w:bottom w:val="single" w:color="auto" w:sz="4" w:space="0"/>
                    <w:right w:val="single" w:color="auto" w:sz="4" w:space="0"/>
                    <w:tl2br w:val="single" w:color="auto" w:sz="4" w:space="0"/>
                  </w:tcBorders>
                  <w:vAlign w:val="center"/>
                </w:tcPr>
                <w:p>
                  <w:pPr>
                    <w:ind w:firstLine="361" w:firstLineChars="200"/>
                    <w:jc w:val="center"/>
                    <w:rPr>
                      <w:rFonts w:hint="eastAsia" w:ascii="宋体" w:hAnsi="宋体" w:eastAsia="宋体" w:cs="宋体"/>
                      <w:b/>
                      <w:sz w:val="18"/>
                      <w:szCs w:val="18"/>
                    </w:rPr>
                  </w:pPr>
                </w:p>
              </w:tc>
              <w:tc>
                <w:tcPr>
                  <w:tcW w:w="1032" w:type="pct"/>
                  <w:tcBorders>
                    <w:top w:val="single" w:color="auto" w:sz="12" w:space="0"/>
                    <w:left w:val="single" w:color="auto" w:sz="4" w:space="0"/>
                    <w:bottom w:val="single" w:color="auto" w:sz="4" w:space="0"/>
                    <w:right w:val="single" w:color="auto" w:sz="4" w:space="0"/>
                  </w:tcBorders>
                  <w:vAlign w:val="center"/>
                </w:tcPr>
                <w:p>
                  <w:pPr>
                    <w:ind w:firstLine="361" w:firstLineChars="200"/>
                    <w:jc w:val="center"/>
                    <w:rPr>
                      <w:rFonts w:hint="eastAsia" w:ascii="宋体" w:hAnsi="宋体" w:eastAsia="宋体" w:cs="宋体"/>
                      <w:b/>
                      <w:sz w:val="18"/>
                      <w:szCs w:val="18"/>
                    </w:rPr>
                  </w:pPr>
                  <w:r>
                    <w:rPr>
                      <w:rFonts w:hint="eastAsia" w:ascii="宋体" w:hAnsi="宋体" w:eastAsia="宋体" w:cs="宋体"/>
                      <w:b/>
                      <w:sz w:val="18"/>
                      <w:szCs w:val="18"/>
                    </w:rPr>
                    <w:t>BOD</w:t>
                  </w:r>
                  <w:r>
                    <w:rPr>
                      <w:rFonts w:hint="eastAsia" w:ascii="宋体" w:hAnsi="宋体" w:eastAsia="宋体" w:cs="宋体"/>
                      <w:b/>
                      <w:sz w:val="18"/>
                      <w:szCs w:val="18"/>
                      <w:vertAlign w:val="subscript"/>
                    </w:rPr>
                    <w:t>5</w:t>
                  </w:r>
                </w:p>
              </w:tc>
              <w:tc>
                <w:tcPr>
                  <w:tcW w:w="1027" w:type="pct"/>
                  <w:tcBorders>
                    <w:top w:val="single" w:color="auto" w:sz="12" w:space="0"/>
                    <w:left w:val="single" w:color="auto" w:sz="4" w:space="0"/>
                    <w:bottom w:val="single" w:color="auto" w:sz="4" w:space="0"/>
                    <w:right w:val="single" w:color="auto" w:sz="4" w:space="0"/>
                  </w:tcBorders>
                  <w:vAlign w:val="center"/>
                </w:tcPr>
                <w:p>
                  <w:pPr>
                    <w:ind w:firstLine="361" w:firstLineChars="200"/>
                    <w:jc w:val="center"/>
                    <w:rPr>
                      <w:rFonts w:hint="eastAsia" w:ascii="宋体" w:hAnsi="宋体" w:eastAsia="宋体" w:cs="宋体"/>
                      <w:b/>
                      <w:sz w:val="18"/>
                      <w:szCs w:val="18"/>
                    </w:rPr>
                  </w:pPr>
                  <w:r>
                    <w:rPr>
                      <w:rFonts w:hint="eastAsia" w:ascii="宋体" w:hAnsi="宋体" w:eastAsia="宋体" w:cs="宋体"/>
                      <w:b/>
                      <w:sz w:val="18"/>
                      <w:szCs w:val="18"/>
                    </w:rPr>
                    <w:t>COD</w:t>
                  </w:r>
                </w:p>
              </w:tc>
              <w:tc>
                <w:tcPr>
                  <w:tcW w:w="1027" w:type="pct"/>
                  <w:tcBorders>
                    <w:top w:val="single" w:color="auto" w:sz="12" w:space="0"/>
                    <w:left w:val="single" w:color="auto" w:sz="4" w:space="0"/>
                    <w:bottom w:val="single" w:color="auto" w:sz="4" w:space="0"/>
                    <w:right w:val="single" w:color="auto" w:sz="4" w:space="0"/>
                  </w:tcBorders>
                  <w:vAlign w:val="center"/>
                </w:tcPr>
                <w:p>
                  <w:pPr>
                    <w:ind w:firstLine="361" w:firstLineChars="200"/>
                    <w:jc w:val="center"/>
                    <w:rPr>
                      <w:rFonts w:hint="eastAsia" w:ascii="宋体" w:hAnsi="宋体" w:eastAsia="宋体" w:cs="宋体"/>
                      <w:b/>
                      <w:sz w:val="18"/>
                      <w:szCs w:val="18"/>
                    </w:rPr>
                  </w:pPr>
                  <w:r>
                    <w:rPr>
                      <w:rFonts w:hint="eastAsia" w:ascii="宋体" w:hAnsi="宋体" w:eastAsia="宋体" w:cs="宋体"/>
                      <w:b/>
                      <w:sz w:val="18"/>
                      <w:szCs w:val="18"/>
                    </w:rPr>
                    <w:t>SS</w:t>
                  </w:r>
                </w:p>
              </w:tc>
              <w:tc>
                <w:tcPr>
                  <w:tcW w:w="1023" w:type="pct"/>
                  <w:tcBorders>
                    <w:top w:val="single" w:color="auto" w:sz="12" w:space="0"/>
                    <w:left w:val="single" w:color="auto" w:sz="4" w:space="0"/>
                    <w:bottom w:val="single" w:color="auto" w:sz="4" w:space="0"/>
                    <w:right w:val="nil"/>
                  </w:tcBorders>
                  <w:vAlign w:val="center"/>
                </w:tcPr>
                <w:p>
                  <w:pPr>
                    <w:ind w:firstLine="361" w:firstLineChars="200"/>
                    <w:jc w:val="center"/>
                    <w:rPr>
                      <w:rFonts w:hint="eastAsia" w:ascii="宋体" w:hAnsi="宋体" w:eastAsia="宋体" w:cs="宋体"/>
                      <w:b/>
                      <w:sz w:val="18"/>
                      <w:szCs w:val="18"/>
                    </w:rPr>
                  </w:pPr>
                  <w:r>
                    <w:rPr>
                      <w:rFonts w:hint="eastAsia" w:ascii="宋体" w:hAnsi="宋体" w:eastAsia="宋体" w:cs="宋体"/>
                      <w:b/>
                      <w:sz w:val="18"/>
                      <w:szCs w:val="18"/>
                    </w:rPr>
                    <w:t>TP</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90" w:type="pct"/>
                  <w:tcBorders>
                    <w:top w:val="single" w:color="auto" w:sz="4" w:space="0"/>
                    <w:left w:val="nil"/>
                    <w:bottom w:val="single" w:color="auto" w:sz="4" w:space="0"/>
                    <w:right w:val="single" w:color="auto" w:sz="4" w:space="0"/>
                  </w:tcBorders>
                  <w:vAlign w:val="center"/>
                </w:tcPr>
                <w:p>
                  <w:pPr>
                    <w:ind w:firstLine="360" w:firstLineChars="200"/>
                    <w:jc w:val="center"/>
                    <w:rPr>
                      <w:rFonts w:hint="eastAsia" w:ascii="宋体" w:hAnsi="宋体" w:eastAsia="宋体" w:cs="宋体"/>
                      <w:sz w:val="18"/>
                      <w:szCs w:val="18"/>
                    </w:rPr>
                  </w:pPr>
                  <w:r>
                    <w:rPr>
                      <w:rFonts w:hint="eastAsia" w:ascii="宋体" w:hAnsi="宋体" w:eastAsia="宋体" w:cs="宋体"/>
                      <w:sz w:val="18"/>
                      <w:szCs w:val="18"/>
                    </w:rPr>
                    <w:t>进水</w:t>
                  </w:r>
                </w:p>
              </w:tc>
              <w:tc>
                <w:tcPr>
                  <w:tcW w:w="1032" w:type="pct"/>
                  <w:tcBorders>
                    <w:top w:val="single" w:color="auto" w:sz="4" w:space="0"/>
                    <w:left w:val="single" w:color="auto" w:sz="4" w:space="0"/>
                    <w:bottom w:val="single" w:color="auto" w:sz="4" w:space="0"/>
                    <w:right w:val="single" w:color="auto" w:sz="4" w:space="0"/>
                  </w:tcBorders>
                  <w:vAlign w:val="center"/>
                </w:tcPr>
                <w:p>
                  <w:pPr>
                    <w:ind w:firstLine="360" w:firstLineChars="200"/>
                    <w:jc w:val="center"/>
                    <w:rPr>
                      <w:rFonts w:hint="eastAsia" w:ascii="宋体" w:hAnsi="宋体" w:eastAsia="宋体" w:cs="宋体"/>
                      <w:sz w:val="18"/>
                      <w:szCs w:val="18"/>
                    </w:rPr>
                  </w:pPr>
                  <w:r>
                    <w:rPr>
                      <w:rFonts w:hint="eastAsia" w:ascii="宋体" w:hAnsi="宋体" w:eastAsia="宋体" w:cs="宋体"/>
                      <w:sz w:val="18"/>
                      <w:szCs w:val="18"/>
                    </w:rPr>
                    <w:t>180</w:t>
                  </w:r>
                </w:p>
              </w:tc>
              <w:tc>
                <w:tcPr>
                  <w:tcW w:w="1027" w:type="pct"/>
                  <w:tcBorders>
                    <w:top w:val="single" w:color="auto" w:sz="4" w:space="0"/>
                    <w:left w:val="single" w:color="auto" w:sz="4" w:space="0"/>
                    <w:bottom w:val="single" w:color="auto" w:sz="4" w:space="0"/>
                    <w:right w:val="single" w:color="auto" w:sz="4" w:space="0"/>
                  </w:tcBorders>
                  <w:vAlign w:val="center"/>
                </w:tcPr>
                <w:p>
                  <w:pPr>
                    <w:ind w:firstLine="360" w:firstLineChars="200"/>
                    <w:jc w:val="center"/>
                    <w:rPr>
                      <w:rFonts w:hint="eastAsia" w:ascii="宋体" w:hAnsi="宋体" w:eastAsia="宋体" w:cs="宋体"/>
                      <w:sz w:val="18"/>
                      <w:szCs w:val="18"/>
                    </w:rPr>
                  </w:pPr>
                  <w:r>
                    <w:rPr>
                      <w:rFonts w:hint="eastAsia" w:ascii="宋体" w:hAnsi="宋体" w:eastAsia="宋体" w:cs="宋体"/>
                      <w:sz w:val="18"/>
                      <w:szCs w:val="18"/>
                    </w:rPr>
                    <w:t>400</w:t>
                  </w:r>
                </w:p>
              </w:tc>
              <w:tc>
                <w:tcPr>
                  <w:tcW w:w="1027" w:type="pct"/>
                  <w:tcBorders>
                    <w:top w:val="single" w:color="auto" w:sz="4" w:space="0"/>
                    <w:left w:val="single" w:color="auto" w:sz="4" w:space="0"/>
                    <w:bottom w:val="single" w:color="auto" w:sz="4" w:space="0"/>
                    <w:right w:val="single" w:color="auto" w:sz="4" w:space="0"/>
                  </w:tcBorders>
                  <w:vAlign w:val="center"/>
                </w:tcPr>
                <w:p>
                  <w:pPr>
                    <w:ind w:firstLine="360" w:firstLineChars="200"/>
                    <w:jc w:val="center"/>
                    <w:rPr>
                      <w:rFonts w:hint="eastAsia" w:ascii="宋体" w:hAnsi="宋体" w:eastAsia="宋体" w:cs="宋体"/>
                      <w:sz w:val="18"/>
                      <w:szCs w:val="18"/>
                    </w:rPr>
                  </w:pPr>
                  <w:r>
                    <w:rPr>
                      <w:rFonts w:hint="eastAsia" w:ascii="宋体" w:hAnsi="宋体" w:eastAsia="宋体" w:cs="宋体"/>
                      <w:sz w:val="18"/>
                      <w:szCs w:val="18"/>
                    </w:rPr>
                    <w:t>200</w:t>
                  </w:r>
                </w:p>
              </w:tc>
              <w:tc>
                <w:tcPr>
                  <w:tcW w:w="1023" w:type="pct"/>
                  <w:tcBorders>
                    <w:top w:val="single" w:color="auto" w:sz="4" w:space="0"/>
                    <w:left w:val="single" w:color="auto" w:sz="4" w:space="0"/>
                    <w:bottom w:val="single" w:color="auto" w:sz="4" w:space="0"/>
                    <w:right w:val="nil"/>
                  </w:tcBorders>
                  <w:vAlign w:val="center"/>
                </w:tcPr>
                <w:p>
                  <w:pPr>
                    <w:ind w:firstLine="450" w:firstLineChars="250"/>
                    <w:jc w:val="center"/>
                    <w:rPr>
                      <w:rFonts w:hint="eastAsia" w:ascii="宋体" w:hAnsi="宋体" w:eastAsia="宋体" w:cs="宋体"/>
                      <w:sz w:val="18"/>
                      <w:szCs w:val="18"/>
                    </w:rPr>
                  </w:pPr>
                  <w:r>
                    <w:rPr>
                      <w:rFonts w:hint="eastAsia" w:ascii="宋体" w:hAnsi="宋体" w:eastAsia="宋体" w:cs="宋体"/>
                      <w:sz w:val="18"/>
                      <w:szCs w:val="18"/>
                    </w:rPr>
                    <w:t>4</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90" w:type="pct"/>
                  <w:tcBorders>
                    <w:top w:val="single" w:color="auto" w:sz="4" w:space="0"/>
                    <w:left w:val="nil"/>
                    <w:bottom w:val="single" w:color="auto" w:sz="12" w:space="0"/>
                    <w:right w:val="single" w:color="auto" w:sz="4" w:space="0"/>
                  </w:tcBorders>
                  <w:vAlign w:val="center"/>
                </w:tcPr>
                <w:p>
                  <w:pPr>
                    <w:ind w:firstLine="360" w:firstLineChars="200"/>
                    <w:jc w:val="center"/>
                    <w:rPr>
                      <w:rFonts w:hint="eastAsia" w:ascii="宋体" w:hAnsi="宋体" w:eastAsia="宋体" w:cs="宋体"/>
                      <w:sz w:val="18"/>
                      <w:szCs w:val="18"/>
                    </w:rPr>
                  </w:pPr>
                  <w:r>
                    <w:rPr>
                      <w:rFonts w:hint="eastAsia" w:ascii="宋体" w:hAnsi="宋体" w:eastAsia="宋体" w:cs="宋体"/>
                      <w:sz w:val="18"/>
                      <w:szCs w:val="18"/>
                    </w:rPr>
                    <w:t>出水</w:t>
                  </w:r>
                </w:p>
              </w:tc>
              <w:tc>
                <w:tcPr>
                  <w:tcW w:w="1032" w:type="pct"/>
                  <w:tcBorders>
                    <w:top w:val="single" w:color="auto" w:sz="4" w:space="0"/>
                    <w:left w:val="single" w:color="auto" w:sz="4" w:space="0"/>
                    <w:bottom w:val="single" w:color="auto" w:sz="12" w:space="0"/>
                    <w:right w:val="single" w:color="auto" w:sz="4" w:space="0"/>
                  </w:tcBorders>
                  <w:vAlign w:val="center"/>
                </w:tcPr>
                <w:p>
                  <w:pPr>
                    <w:ind w:firstLine="360" w:firstLineChars="200"/>
                    <w:jc w:val="center"/>
                    <w:rPr>
                      <w:rFonts w:hint="eastAsia" w:ascii="宋体" w:hAnsi="宋体" w:eastAsia="宋体" w:cs="宋体"/>
                      <w:sz w:val="18"/>
                      <w:szCs w:val="18"/>
                    </w:rPr>
                  </w:pPr>
                  <w:r>
                    <w:rPr>
                      <w:rFonts w:hint="eastAsia" w:ascii="宋体" w:hAnsi="宋体" w:eastAsia="宋体" w:cs="宋体"/>
                      <w:sz w:val="18"/>
                      <w:szCs w:val="18"/>
                    </w:rPr>
                    <w:t>≤20</w:t>
                  </w:r>
                </w:p>
              </w:tc>
              <w:tc>
                <w:tcPr>
                  <w:tcW w:w="1027" w:type="pct"/>
                  <w:tcBorders>
                    <w:top w:val="single" w:color="auto" w:sz="4" w:space="0"/>
                    <w:left w:val="single" w:color="auto" w:sz="4" w:space="0"/>
                    <w:bottom w:val="single" w:color="auto" w:sz="12" w:space="0"/>
                    <w:right w:val="single" w:color="auto" w:sz="4" w:space="0"/>
                  </w:tcBorders>
                  <w:vAlign w:val="center"/>
                </w:tcPr>
                <w:p>
                  <w:pPr>
                    <w:ind w:firstLine="360" w:firstLineChars="200"/>
                    <w:jc w:val="center"/>
                    <w:rPr>
                      <w:rFonts w:hint="eastAsia" w:ascii="宋体" w:hAnsi="宋体" w:eastAsia="宋体" w:cs="宋体"/>
                      <w:sz w:val="18"/>
                      <w:szCs w:val="18"/>
                    </w:rPr>
                  </w:pPr>
                  <w:r>
                    <w:rPr>
                      <w:rFonts w:hint="eastAsia" w:ascii="宋体" w:hAnsi="宋体" w:eastAsia="宋体" w:cs="宋体"/>
                      <w:sz w:val="18"/>
                      <w:szCs w:val="18"/>
                    </w:rPr>
                    <w:t>≤50</w:t>
                  </w:r>
                </w:p>
              </w:tc>
              <w:tc>
                <w:tcPr>
                  <w:tcW w:w="1027" w:type="pct"/>
                  <w:tcBorders>
                    <w:top w:val="single" w:color="auto" w:sz="4" w:space="0"/>
                    <w:left w:val="single" w:color="auto" w:sz="4" w:space="0"/>
                    <w:bottom w:val="single" w:color="auto" w:sz="12" w:space="0"/>
                    <w:right w:val="single" w:color="auto" w:sz="4" w:space="0"/>
                  </w:tcBorders>
                  <w:vAlign w:val="center"/>
                </w:tcPr>
                <w:p>
                  <w:pPr>
                    <w:ind w:firstLine="360" w:firstLineChars="200"/>
                    <w:jc w:val="center"/>
                    <w:rPr>
                      <w:rFonts w:hint="eastAsia" w:ascii="宋体" w:hAnsi="宋体" w:eastAsia="宋体" w:cs="宋体"/>
                      <w:sz w:val="18"/>
                      <w:szCs w:val="18"/>
                    </w:rPr>
                  </w:pPr>
                  <w:r>
                    <w:rPr>
                      <w:rFonts w:hint="eastAsia" w:ascii="宋体" w:hAnsi="宋体" w:eastAsia="宋体" w:cs="宋体"/>
                      <w:sz w:val="18"/>
                      <w:szCs w:val="18"/>
                    </w:rPr>
                    <w:t>≤20</w:t>
                  </w:r>
                </w:p>
              </w:tc>
              <w:tc>
                <w:tcPr>
                  <w:tcW w:w="1023" w:type="pct"/>
                  <w:tcBorders>
                    <w:top w:val="single" w:color="auto" w:sz="4" w:space="0"/>
                    <w:left w:val="single" w:color="auto" w:sz="4" w:space="0"/>
                    <w:bottom w:val="single" w:color="auto" w:sz="12" w:space="0"/>
                    <w:right w:val="nil"/>
                  </w:tcBorders>
                  <w:vAlign w:val="center"/>
                </w:tcPr>
                <w:p>
                  <w:pPr>
                    <w:ind w:firstLine="360" w:firstLineChars="200"/>
                    <w:jc w:val="center"/>
                    <w:rPr>
                      <w:rFonts w:hint="eastAsia" w:ascii="宋体" w:hAnsi="宋体" w:eastAsia="宋体" w:cs="宋体"/>
                      <w:sz w:val="18"/>
                      <w:szCs w:val="18"/>
                    </w:rPr>
                  </w:pPr>
                  <w:r>
                    <w:rPr>
                      <w:rFonts w:hint="eastAsia" w:ascii="宋体" w:hAnsi="宋体" w:eastAsia="宋体" w:cs="宋体"/>
                      <w:sz w:val="18"/>
                      <w:szCs w:val="18"/>
                    </w:rPr>
                    <w:t>≤0.5</w:t>
                  </w:r>
                </w:p>
              </w:tc>
            </w:tr>
          </w:tbl>
          <w:p>
            <w:pPr>
              <w:spacing w:line="360" w:lineRule="auto"/>
              <w:ind w:firstLine="420" w:firstLineChars="200"/>
              <w:rPr>
                <w:rFonts w:hint="default" w:ascii="Times New Roman" w:hAnsi="Times New Roman" w:eastAsia="宋体" w:cs="Times New Roman"/>
                <w:color w:val="FF0000"/>
                <w:sz w:val="21"/>
                <w:szCs w:val="21"/>
              </w:rPr>
            </w:pPr>
            <w:r>
              <w:rPr>
                <w:rFonts w:hint="default" w:ascii="Times New Roman" w:hAnsi="Times New Roman" w:eastAsia="宋体" w:cs="Times New Roman"/>
                <w:sz w:val="21"/>
                <w:szCs w:val="21"/>
              </w:rPr>
              <w:t>目前处理污水量在15000t/d左右，建设项目排放污水</w:t>
            </w:r>
            <w:r>
              <w:rPr>
                <w:rFonts w:hint="default" w:ascii="Times New Roman" w:hAnsi="Times New Roman" w:eastAsia="宋体" w:cs="Times New Roman"/>
                <w:sz w:val="21"/>
                <w:szCs w:val="21"/>
                <w:lang w:val="en-US" w:eastAsia="zh-CN"/>
              </w:rPr>
              <w:t>797.4</w:t>
            </w:r>
            <w:r>
              <w:rPr>
                <w:rFonts w:hint="default" w:ascii="Times New Roman" w:hAnsi="Times New Roman" w:eastAsia="宋体" w:cs="Times New Roman"/>
                <w:sz w:val="21"/>
                <w:szCs w:val="21"/>
              </w:rPr>
              <w:t>t/a，排放量较少，仅占城东污水处理厂设计水量的0.</w:t>
            </w:r>
            <w:r>
              <w:rPr>
                <w:rFonts w:hint="default" w:ascii="Times New Roman" w:hAnsi="Times New Roman" w:eastAsia="宋体" w:cs="Times New Roman"/>
                <w:sz w:val="21"/>
                <w:szCs w:val="21"/>
                <w:lang w:val="en-US" w:eastAsia="zh-CN"/>
              </w:rPr>
              <w:t>015</w:t>
            </w:r>
            <w:r>
              <w:rPr>
                <w:rFonts w:hint="default" w:ascii="Times New Roman" w:hAnsi="Times New Roman" w:eastAsia="宋体" w:cs="Times New Roman"/>
                <w:sz w:val="21"/>
                <w:szCs w:val="21"/>
              </w:rPr>
              <w:t>％，且水质简单，不会对城东污水处理厂正常运行造成影响。建设项目排放污水经城东污水处理厂处理后达标排放，对周围水环境影响较小。</w:t>
            </w:r>
          </w:p>
          <w:p>
            <w:pPr>
              <w:pStyle w:val="18"/>
              <w:spacing w:line="360" w:lineRule="auto"/>
              <w:ind w:left="0" w:leftChars="0" w:right="195" w:rightChars="93"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kern w:val="2"/>
                <w:sz w:val="21"/>
                <w:szCs w:val="21"/>
              </w:rPr>
              <w:t>建设项目排放口设置需按照《关于印发</w:t>
            </w:r>
            <w:r>
              <w:rPr>
                <w:rFonts w:hint="default" w:ascii="Times New Roman" w:hAnsi="Times New Roman" w:eastAsia="宋体" w:cs="Times New Roman"/>
                <w:kern w:val="2"/>
                <w:sz w:val="21"/>
                <w:szCs w:val="21"/>
                <w:lang w:eastAsia="zh-CN"/>
              </w:rPr>
              <w:t>〈</w:t>
            </w:r>
            <w:r>
              <w:rPr>
                <w:rFonts w:hint="default" w:ascii="Times New Roman" w:hAnsi="Times New Roman" w:eastAsia="宋体" w:cs="Times New Roman"/>
                <w:kern w:val="2"/>
                <w:sz w:val="21"/>
                <w:szCs w:val="21"/>
              </w:rPr>
              <w:t>江苏省排污口设置及规范化整治管理办法</w:t>
            </w:r>
            <w:r>
              <w:rPr>
                <w:rFonts w:hint="default" w:ascii="Times New Roman" w:hAnsi="Times New Roman" w:eastAsia="宋体" w:cs="Times New Roman"/>
                <w:kern w:val="2"/>
                <w:sz w:val="21"/>
                <w:szCs w:val="21"/>
                <w:lang w:eastAsia="zh-CN"/>
              </w:rPr>
              <w:t>〉</w:t>
            </w:r>
            <w:r>
              <w:rPr>
                <w:rFonts w:hint="default" w:ascii="Times New Roman" w:hAnsi="Times New Roman" w:eastAsia="宋体" w:cs="Times New Roman"/>
                <w:kern w:val="2"/>
                <w:sz w:val="21"/>
                <w:szCs w:val="21"/>
              </w:rPr>
              <w:t>的通知》（苏环控[97]122号）有关排水体制的规定设置。因此，建设项目废水对周围水环境影响较小。</w:t>
            </w:r>
          </w:p>
          <w:p>
            <w:pPr>
              <w:pStyle w:val="18"/>
              <w:spacing w:line="240" w:lineRule="auto"/>
              <w:ind w:left="0" w:leftChars="0" w:right="195" w:rightChars="93"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）废水监测要求</w:t>
            </w:r>
          </w:p>
          <w:p>
            <w:pPr>
              <w:widowControl/>
              <w:spacing w:line="240" w:lineRule="auto"/>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表4-</w:t>
            </w:r>
            <w:r>
              <w:rPr>
                <w:rFonts w:hint="default" w:ascii="Times New Roman" w:hAnsi="Times New Roman" w:eastAsia="宋体" w:cs="Times New Roman"/>
                <w:b/>
                <w:bCs/>
                <w:sz w:val="21"/>
                <w:szCs w:val="21"/>
                <w:lang w:val="en-US" w:eastAsia="zh-CN"/>
              </w:rPr>
              <w:t>7</w:t>
            </w:r>
            <w:r>
              <w:rPr>
                <w:rFonts w:hint="default" w:ascii="Times New Roman" w:hAnsi="Times New Roman" w:eastAsia="宋体" w:cs="Times New Roman"/>
                <w:b/>
                <w:bCs/>
                <w:sz w:val="21"/>
                <w:szCs w:val="21"/>
              </w:rPr>
              <w:t>废水监测要求</w:t>
            </w:r>
          </w:p>
          <w:tbl>
            <w:tblPr>
              <w:tblStyle w:val="36"/>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
              <w:gridCol w:w="1588"/>
              <w:gridCol w:w="3163"/>
              <w:gridCol w:w="1742"/>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551" w:type="pct"/>
                  <w:vAlign w:val="center"/>
                </w:tcPr>
                <w:p>
                  <w:pPr>
                    <w:pStyle w:val="18"/>
                    <w:ind w:left="0" w:leftChars="0" w:right="195" w:rightChars="93"/>
                    <w:jc w:val="center"/>
                    <w:rPr>
                      <w:rFonts w:hint="default" w:ascii="Times New Roman" w:hAnsi="Times New Roman" w:eastAsia="宋体" w:cs="Times New Roman"/>
                      <w:b/>
                      <w:bCs/>
                      <w:kern w:val="2"/>
                      <w:sz w:val="18"/>
                      <w:szCs w:val="18"/>
                    </w:rPr>
                  </w:pPr>
                  <w:r>
                    <w:rPr>
                      <w:rFonts w:hint="default" w:ascii="Times New Roman" w:hAnsi="Times New Roman" w:eastAsia="宋体" w:cs="Times New Roman"/>
                      <w:b/>
                      <w:bCs/>
                      <w:kern w:val="2"/>
                      <w:sz w:val="18"/>
                      <w:szCs w:val="18"/>
                    </w:rPr>
                    <w:t>种类</w:t>
                  </w:r>
                </w:p>
              </w:tc>
              <w:tc>
                <w:tcPr>
                  <w:tcW w:w="896" w:type="pct"/>
                  <w:vAlign w:val="center"/>
                </w:tcPr>
                <w:p>
                  <w:pPr>
                    <w:pStyle w:val="18"/>
                    <w:ind w:left="0" w:leftChars="0" w:right="195" w:rightChars="93"/>
                    <w:jc w:val="center"/>
                    <w:rPr>
                      <w:rFonts w:hint="default" w:ascii="Times New Roman" w:hAnsi="Times New Roman" w:eastAsia="宋体" w:cs="Times New Roman"/>
                      <w:b/>
                      <w:bCs/>
                      <w:kern w:val="2"/>
                      <w:sz w:val="18"/>
                      <w:szCs w:val="18"/>
                    </w:rPr>
                  </w:pPr>
                  <w:r>
                    <w:rPr>
                      <w:rFonts w:hint="default" w:ascii="Times New Roman" w:hAnsi="Times New Roman" w:eastAsia="宋体" w:cs="Times New Roman"/>
                      <w:b/>
                      <w:bCs/>
                      <w:kern w:val="2"/>
                      <w:sz w:val="18"/>
                      <w:szCs w:val="18"/>
                    </w:rPr>
                    <w:t>监测点位</w:t>
                  </w:r>
                </w:p>
              </w:tc>
              <w:tc>
                <w:tcPr>
                  <w:tcW w:w="1785" w:type="pct"/>
                  <w:vAlign w:val="center"/>
                </w:tcPr>
                <w:p>
                  <w:pPr>
                    <w:pStyle w:val="18"/>
                    <w:ind w:left="0" w:leftChars="0" w:right="195" w:rightChars="93"/>
                    <w:jc w:val="center"/>
                    <w:rPr>
                      <w:rFonts w:hint="default" w:ascii="Times New Roman" w:hAnsi="Times New Roman" w:eastAsia="宋体" w:cs="Times New Roman"/>
                      <w:b/>
                      <w:bCs/>
                      <w:kern w:val="2"/>
                      <w:sz w:val="18"/>
                      <w:szCs w:val="18"/>
                    </w:rPr>
                  </w:pPr>
                  <w:r>
                    <w:rPr>
                      <w:rFonts w:hint="default" w:ascii="Times New Roman" w:hAnsi="Times New Roman" w:eastAsia="宋体" w:cs="Times New Roman"/>
                      <w:b/>
                      <w:bCs/>
                      <w:kern w:val="2"/>
                      <w:sz w:val="18"/>
                      <w:szCs w:val="18"/>
                    </w:rPr>
                    <w:t>监测项目</w:t>
                  </w:r>
                </w:p>
              </w:tc>
              <w:tc>
                <w:tcPr>
                  <w:tcW w:w="983" w:type="pct"/>
                  <w:vAlign w:val="center"/>
                </w:tcPr>
                <w:p>
                  <w:pPr>
                    <w:pStyle w:val="18"/>
                    <w:ind w:left="0" w:leftChars="0" w:right="195" w:rightChars="93"/>
                    <w:jc w:val="center"/>
                    <w:rPr>
                      <w:rFonts w:hint="default" w:ascii="Times New Roman" w:hAnsi="Times New Roman" w:eastAsia="宋体" w:cs="Times New Roman"/>
                      <w:b/>
                      <w:bCs/>
                      <w:kern w:val="2"/>
                      <w:sz w:val="18"/>
                      <w:szCs w:val="18"/>
                    </w:rPr>
                  </w:pPr>
                  <w:r>
                    <w:rPr>
                      <w:rFonts w:hint="default" w:ascii="Times New Roman" w:hAnsi="Times New Roman" w:eastAsia="宋体" w:cs="Times New Roman"/>
                      <w:b/>
                      <w:bCs/>
                      <w:kern w:val="2"/>
                      <w:sz w:val="18"/>
                      <w:szCs w:val="18"/>
                    </w:rPr>
                    <w:t>监测频次</w:t>
                  </w:r>
                </w:p>
              </w:tc>
              <w:tc>
                <w:tcPr>
                  <w:tcW w:w="786" w:type="pct"/>
                  <w:vAlign w:val="center"/>
                </w:tcPr>
                <w:p>
                  <w:pPr>
                    <w:pStyle w:val="18"/>
                    <w:ind w:left="0" w:leftChars="0" w:right="195" w:rightChars="93"/>
                    <w:jc w:val="center"/>
                    <w:rPr>
                      <w:rFonts w:hint="default" w:ascii="Times New Roman" w:hAnsi="Times New Roman" w:eastAsia="宋体" w:cs="Times New Roman"/>
                      <w:b/>
                      <w:bCs/>
                      <w:kern w:val="2"/>
                      <w:sz w:val="18"/>
                      <w:szCs w:val="18"/>
                    </w:rPr>
                  </w:pPr>
                  <w:r>
                    <w:rPr>
                      <w:rFonts w:hint="default" w:ascii="Times New Roman" w:hAnsi="Times New Roman" w:eastAsia="宋体" w:cs="Times New Roman"/>
                      <w:b/>
                      <w:bCs/>
                      <w:kern w:val="2"/>
                      <w:sz w:val="18"/>
                      <w:szCs w:val="18"/>
                    </w:rPr>
                    <w:t>监测方式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551" w:type="pct"/>
                  <w:vAlign w:val="center"/>
                </w:tcPr>
                <w:p>
                  <w:pPr>
                    <w:pStyle w:val="18"/>
                    <w:keepNext w:val="0"/>
                    <w:keepLines w:val="0"/>
                    <w:pageBreakBefore w:val="0"/>
                    <w:widowControl w:val="0"/>
                    <w:kinsoku/>
                    <w:wordWrap/>
                    <w:overflowPunct/>
                    <w:topLinePunct w:val="0"/>
                    <w:autoSpaceDE/>
                    <w:autoSpaceDN/>
                    <w:bidi w:val="0"/>
                    <w:adjustRightInd/>
                    <w:snapToGrid/>
                    <w:spacing w:after="0"/>
                    <w:ind w:left="0" w:leftChars="0" w:right="195" w:rightChars="93"/>
                    <w:jc w:val="center"/>
                    <w:textAlignment w:val="auto"/>
                    <w:rPr>
                      <w:rFonts w:hint="default" w:ascii="Times New Roman" w:hAnsi="Times New Roman" w:eastAsia="宋体" w:cs="Times New Roman"/>
                      <w:kern w:val="2"/>
                      <w:sz w:val="18"/>
                      <w:szCs w:val="18"/>
                    </w:rPr>
                  </w:pPr>
                  <w:r>
                    <w:rPr>
                      <w:rFonts w:hint="default" w:ascii="Times New Roman" w:hAnsi="Times New Roman" w:eastAsia="宋体" w:cs="Times New Roman"/>
                      <w:kern w:val="2"/>
                      <w:sz w:val="18"/>
                      <w:szCs w:val="18"/>
                    </w:rPr>
                    <w:t>废水</w:t>
                  </w:r>
                </w:p>
              </w:tc>
              <w:tc>
                <w:tcPr>
                  <w:tcW w:w="896" w:type="pct"/>
                  <w:vAlign w:val="center"/>
                </w:tcPr>
                <w:p>
                  <w:pPr>
                    <w:pStyle w:val="18"/>
                    <w:keepNext w:val="0"/>
                    <w:keepLines w:val="0"/>
                    <w:pageBreakBefore w:val="0"/>
                    <w:widowControl w:val="0"/>
                    <w:kinsoku/>
                    <w:wordWrap/>
                    <w:overflowPunct/>
                    <w:topLinePunct w:val="0"/>
                    <w:autoSpaceDE/>
                    <w:autoSpaceDN/>
                    <w:bidi w:val="0"/>
                    <w:adjustRightInd/>
                    <w:snapToGrid/>
                    <w:spacing w:after="0"/>
                    <w:ind w:left="0" w:leftChars="0" w:right="195" w:rightChars="93"/>
                    <w:jc w:val="center"/>
                    <w:textAlignment w:val="auto"/>
                    <w:rPr>
                      <w:rFonts w:hint="default" w:ascii="Times New Roman" w:hAnsi="Times New Roman" w:eastAsia="宋体" w:cs="Times New Roman"/>
                      <w:kern w:val="2"/>
                      <w:sz w:val="18"/>
                      <w:szCs w:val="18"/>
                    </w:rPr>
                  </w:pPr>
                  <w:r>
                    <w:rPr>
                      <w:rFonts w:hint="default" w:ascii="Times New Roman" w:hAnsi="Times New Roman" w:eastAsia="宋体" w:cs="Times New Roman"/>
                      <w:kern w:val="2"/>
                      <w:sz w:val="18"/>
                      <w:szCs w:val="18"/>
                    </w:rPr>
                    <w:t>污水排污口</w:t>
                  </w:r>
                </w:p>
              </w:tc>
              <w:tc>
                <w:tcPr>
                  <w:tcW w:w="1785" w:type="pct"/>
                  <w:vAlign w:val="center"/>
                </w:tcPr>
                <w:p>
                  <w:pPr>
                    <w:pStyle w:val="18"/>
                    <w:keepNext w:val="0"/>
                    <w:keepLines w:val="0"/>
                    <w:pageBreakBefore w:val="0"/>
                    <w:widowControl w:val="0"/>
                    <w:kinsoku/>
                    <w:wordWrap/>
                    <w:overflowPunct/>
                    <w:topLinePunct w:val="0"/>
                    <w:autoSpaceDE/>
                    <w:autoSpaceDN/>
                    <w:bidi w:val="0"/>
                    <w:adjustRightInd/>
                    <w:snapToGrid/>
                    <w:spacing w:after="0"/>
                    <w:ind w:left="0" w:leftChars="0" w:right="195" w:rightChars="93"/>
                    <w:jc w:val="center"/>
                    <w:textAlignment w:val="auto"/>
                    <w:rPr>
                      <w:rFonts w:hint="default" w:ascii="Times New Roman" w:hAnsi="Times New Roman" w:eastAsia="宋体" w:cs="Times New Roman"/>
                      <w:kern w:val="2"/>
                      <w:sz w:val="18"/>
                      <w:szCs w:val="18"/>
                      <w:lang w:val="en-US" w:eastAsia="zh-CN"/>
                    </w:rPr>
                  </w:pPr>
                  <w:r>
                    <w:rPr>
                      <w:rFonts w:hint="default" w:ascii="Times New Roman" w:hAnsi="Times New Roman" w:eastAsia="宋体" w:cs="Times New Roman"/>
                      <w:kern w:val="2"/>
                      <w:sz w:val="18"/>
                      <w:szCs w:val="18"/>
                    </w:rPr>
                    <w:t>pH、COD、SS、NH</w:t>
                  </w:r>
                  <w:r>
                    <w:rPr>
                      <w:rFonts w:hint="default" w:ascii="Times New Roman" w:hAnsi="Times New Roman" w:eastAsia="宋体" w:cs="Times New Roman"/>
                      <w:kern w:val="2"/>
                      <w:sz w:val="18"/>
                      <w:szCs w:val="18"/>
                      <w:vertAlign w:val="subscript"/>
                    </w:rPr>
                    <w:t>3</w:t>
                  </w:r>
                  <w:r>
                    <w:rPr>
                      <w:rFonts w:hint="default" w:ascii="Times New Roman" w:hAnsi="Times New Roman" w:eastAsia="宋体" w:cs="Times New Roman"/>
                      <w:kern w:val="2"/>
                      <w:sz w:val="18"/>
                      <w:szCs w:val="18"/>
                    </w:rPr>
                    <w:t>-N、TP、TN</w:t>
                  </w:r>
                  <w:r>
                    <w:rPr>
                      <w:rFonts w:hint="default" w:ascii="Times New Roman" w:hAnsi="Times New Roman" w:eastAsia="宋体" w:cs="Times New Roman"/>
                      <w:kern w:val="2"/>
                      <w:sz w:val="18"/>
                      <w:szCs w:val="18"/>
                      <w:lang w:eastAsia="zh-CN"/>
                    </w:rPr>
                    <w:t>、</w:t>
                  </w:r>
                  <w:r>
                    <w:rPr>
                      <w:rFonts w:hint="default" w:ascii="Times New Roman" w:hAnsi="Times New Roman" w:eastAsia="宋体" w:cs="Times New Roman"/>
                      <w:kern w:val="2"/>
                      <w:sz w:val="18"/>
                      <w:szCs w:val="18"/>
                      <w:lang w:val="en-US" w:eastAsia="zh-CN"/>
                    </w:rPr>
                    <w:t>粪大肠菌群、总余氯、LAS</w:t>
                  </w:r>
                </w:p>
              </w:tc>
              <w:tc>
                <w:tcPr>
                  <w:tcW w:w="983" w:type="pct"/>
                  <w:vAlign w:val="center"/>
                </w:tcPr>
                <w:p>
                  <w:pPr>
                    <w:pStyle w:val="18"/>
                    <w:keepNext w:val="0"/>
                    <w:keepLines w:val="0"/>
                    <w:pageBreakBefore w:val="0"/>
                    <w:widowControl w:val="0"/>
                    <w:kinsoku/>
                    <w:wordWrap/>
                    <w:overflowPunct/>
                    <w:topLinePunct w:val="0"/>
                    <w:autoSpaceDE/>
                    <w:autoSpaceDN/>
                    <w:bidi w:val="0"/>
                    <w:adjustRightInd/>
                    <w:snapToGrid/>
                    <w:spacing w:after="0"/>
                    <w:ind w:left="0" w:leftChars="0" w:right="195" w:rightChars="93"/>
                    <w:jc w:val="center"/>
                    <w:textAlignment w:val="auto"/>
                    <w:rPr>
                      <w:rFonts w:hint="default" w:ascii="Times New Roman" w:hAnsi="Times New Roman" w:eastAsia="宋体" w:cs="Times New Roman"/>
                      <w:kern w:val="2"/>
                      <w:sz w:val="18"/>
                      <w:szCs w:val="18"/>
                    </w:rPr>
                  </w:pPr>
                  <w:r>
                    <w:rPr>
                      <w:rFonts w:hint="default" w:ascii="Times New Roman" w:hAnsi="Times New Roman" w:eastAsia="宋体" w:cs="Times New Roman"/>
                      <w:kern w:val="2"/>
                      <w:sz w:val="18"/>
                      <w:szCs w:val="18"/>
                    </w:rPr>
                    <w:t>每年监测一次</w:t>
                  </w:r>
                </w:p>
              </w:tc>
              <w:tc>
                <w:tcPr>
                  <w:tcW w:w="786" w:type="pct"/>
                  <w:vAlign w:val="center"/>
                </w:tcPr>
                <w:p>
                  <w:pPr>
                    <w:pStyle w:val="18"/>
                    <w:keepNext w:val="0"/>
                    <w:keepLines w:val="0"/>
                    <w:pageBreakBefore w:val="0"/>
                    <w:widowControl w:val="0"/>
                    <w:kinsoku/>
                    <w:wordWrap/>
                    <w:overflowPunct/>
                    <w:topLinePunct w:val="0"/>
                    <w:autoSpaceDE/>
                    <w:autoSpaceDN/>
                    <w:bidi w:val="0"/>
                    <w:adjustRightInd/>
                    <w:snapToGrid/>
                    <w:spacing w:after="0"/>
                    <w:ind w:left="0" w:leftChars="0" w:right="195" w:rightChars="93"/>
                    <w:jc w:val="center"/>
                    <w:textAlignment w:val="auto"/>
                    <w:rPr>
                      <w:rFonts w:hint="default" w:ascii="Times New Roman" w:hAnsi="Times New Roman" w:eastAsia="宋体" w:cs="Times New Roman"/>
                      <w:kern w:val="2"/>
                      <w:sz w:val="18"/>
                      <w:szCs w:val="18"/>
                    </w:rPr>
                  </w:pPr>
                  <w:r>
                    <w:rPr>
                      <w:rFonts w:hint="default" w:ascii="Times New Roman" w:hAnsi="Times New Roman" w:eastAsia="宋体" w:cs="Times New Roman"/>
                      <w:kern w:val="2"/>
                      <w:sz w:val="18"/>
                      <w:szCs w:val="18"/>
                    </w:rPr>
                    <w:t>委托监测</w:t>
                  </w:r>
                </w:p>
              </w:tc>
            </w:tr>
          </w:tbl>
          <w:p>
            <w:pPr>
              <w:spacing w:line="360" w:lineRule="auto"/>
              <w:ind w:right="195" w:rightChars="93"/>
              <w:rPr>
                <w:rFonts w:ascii="宋体" w:hAnsi="宋体"/>
                <w:szCs w:val="21"/>
              </w:rPr>
            </w:pPr>
          </w:p>
          <w:p>
            <w:pPr>
              <w:spacing w:line="360" w:lineRule="auto"/>
              <w:ind w:right="195" w:rightChars="93" w:firstLine="422" w:firstLineChars="200"/>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3.噪声</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本项目不涉及高噪声设备的使用，主要噪声来</w:t>
            </w:r>
            <w:r>
              <w:rPr>
                <w:rFonts w:hint="default" w:ascii="Times New Roman" w:hAnsi="Times New Roman" w:eastAsia="宋体" w:cs="Times New Roman"/>
                <w:sz w:val="21"/>
                <w:szCs w:val="21"/>
                <w:lang w:val="en-US" w:eastAsia="zh-CN"/>
              </w:rPr>
              <w:t>自</w:t>
            </w:r>
            <w:r>
              <w:rPr>
                <w:rFonts w:hint="default" w:ascii="Times New Roman" w:hAnsi="Times New Roman" w:eastAsia="宋体" w:cs="Times New Roman"/>
                <w:sz w:val="21"/>
                <w:szCs w:val="21"/>
              </w:rPr>
              <w:t>宠物叫声及各类医疗设备。项目采用的医疗设备均为低噪设备，运转的噪声值约为60-65dB(A)，通过房间隔声，产生噪声较小；宠物叫声具有不定时性和突发性，噪声值约为65-70dB（A），通过对诊疗室、宠物病房采取隔声措施，可降低噪声影响。在做好相应措施的条件下，项目边界噪声可以达到《社会生活环境噪声排放标准》（GB12348-2008）中2类标准。</w:t>
            </w:r>
          </w:p>
          <w:p>
            <w:pPr>
              <w:widowControl/>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表4-</w:t>
            </w:r>
            <w:r>
              <w:rPr>
                <w:rFonts w:hint="default" w:ascii="Times New Roman" w:hAnsi="Times New Roman" w:eastAsia="宋体" w:cs="Times New Roman"/>
                <w:b/>
                <w:bCs/>
                <w:sz w:val="21"/>
                <w:szCs w:val="21"/>
                <w:lang w:val="en-US" w:eastAsia="zh-CN"/>
              </w:rPr>
              <w:t>8</w:t>
            </w:r>
            <w:r>
              <w:rPr>
                <w:rFonts w:hint="default" w:ascii="Times New Roman" w:hAnsi="Times New Roman" w:eastAsia="宋体" w:cs="Times New Roman"/>
                <w:b/>
                <w:bCs/>
                <w:sz w:val="21"/>
                <w:szCs w:val="21"/>
              </w:rPr>
              <w:t>噪声环境监测计划</w:t>
            </w:r>
          </w:p>
          <w:tbl>
            <w:tblPr>
              <w:tblStyle w:val="36"/>
              <w:tblW w:w="5000"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978"/>
              <w:gridCol w:w="1109"/>
              <w:gridCol w:w="1900"/>
              <w:gridCol w:w="1266"/>
              <w:gridCol w:w="361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22" w:hRule="atLeast"/>
                <w:jc w:val="center"/>
              </w:trPr>
              <w:tc>
                <w:tcPr>
                  <w:tcW w:w="876" w:type="dxa"/>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类别</w:t>
                  </w:r>
                </w:p>
              </w:tc>
              <w:tc>
                <w:tcPr>
                  <w:tcW w:w="993" w:type="dxa"/>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监测位置</w:t>
                  </w:r>
                </w:p>
              </w:tc>
              <w:tc>
                <w:tcPr>
                  <w:tcW w:w="1701" w:type="dxa"/>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监测项目</w:t>
                  </w:r>
                </w:p>
              </w:tc>
              <w:tc>
                <w:tcPr>
                  <w:tcW w:w="1134" w:type="dxa"/>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监测频次</w:t>
                  </w:r>
                </w:p>
              </w:tc>
              <w:tc>
                <w:tcPr>
                  <w:tcW w:w="3236" w:type="dxa"/>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执行排放标准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86" w:hRule="atLeast"/>
                <w:jc w:val="center"/>
              </w:trPr>
              <w:tc>
                <w:tcPr>
                  <w:tcW w:w="876" w:type="dxa"/>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噪声</w:t>
                  </w:r>
                </w:p>
              </w:tc>
              <w:tc>
                <w:tcPr>
                  <w:tcW w:w="993" w:type="dxa"/>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厂界外1m</w:t>
                  </w:r>
                </w:p>
              </w:tc>
              <w:tc>
                <w:tcPr>
                  <w:tcW w:w="1701" w:type="dxa"/>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连续等效A声级</w:t>
                  </w:r>
                </w:p>
              </w:tc>
              <w:tc>
                <w:tcPr>
                  <w:tcW w:w="1134" w:type="dxa"/>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1次/季度</w:t>
                  </w:r>
                </w:p>
              </w:tc>
              <w:tc>
                <w:tcPr>
                  <w:tcW w:w="3236" w:type="dxa"/>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kern w:val="2"/>
                      <w:sz w:val="18"/>
                      <w:szCs w:val="18"/>
                      <w:lang w:val="en-US" w:eastAsia="zh-CN" w:bidi="ar-SA"/>
                    </w:rPr>
                    <w:t>《社会生活环境噪声排放标准》（GB22337-2008）表1中2类标准</w:t>
                  </w:r>
                </w:p>
              </w:tc>
            </w:tr>
          </w:tbl>
          <w:p>
            <w:pPr>
              <w:spacing w:line="360" w:lineRule="auto"/>
              <w:ind w:right="195" w:rightChars="93" w:firstLine="420" w:firstLineChars="200"/>
              <w:rPr>
                <w:rFonts w:ascii="宋体" w:hAnsi="宋体"/>
                <w:color w:val="auto"/>
                <w:szCs w:val="21"/>
              </w:rPr>
            </w:pPr>
          </w:p>
          <w:p>
            <w:pPr>
              <w:numPr>
                <w:ilvl w:val="0"/>
                <w:numId w:val="7"/>
              </w:numPr>
              <w:spacing w:line="360" w:lineRule="auto"/>
              <w:ind w:right="195" w:rightChars="93" w:firstLine="422" w:firstLineChars="200"/>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固体废物</w:t>
            </w:r>
          </w:p>
          <w:p>
            <w:pPr>
              <w:pStyle w:val="18"/>
              <w:spacing w:line="360" w:lineRule="auto"/>
              <w:ind w:left="0" w:leftChars="0" w:right="195" w:rightChars="93" w:firstLine="420" w:firstLineChars="200"/>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本项目运营期产生的固体废物主要为感染性废物、病理性废物、生活垃圾。</w:t>
            </w:r>
          </w:p>
          <w:p>
            <w:pPr>
              <w:pStyle w:val="18"/>
              <w:spacing w:line="360" w:lineRule="auto"/>
              <w:ind w:left="0" w:leftChars="0" w:right="195" w:rightChars="93" w:firstLine="0" w:firstLineChars="0"/>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（1）固废产生情况</w:t>
            </w:r>
          </w:p>
          <w:p>
            <w:pPr>
              <w:pStyle w:val="18"/>
              <w:spacing w:line="360" w:lineRule="auto"/>
              <w:ind w:left="0" w:leftChars="0" w:right="195" w:rightChars="93" w:firstLine="420" w:firstLineChars="200"/>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生活垃圾：项目共</w:t>
            </w:r>
            <w:r>
              <w:rPr>
                <w:rFonts w:hint="default" w:ascii="Times New Roman" w:hAnsi="Times New Roman" w:eastAsia="宋体" w:cs="Times New Roman"/>
                <w:kern w:val="2"/>
                <w:sz w:val="21"/>
                <w:szCs w:val="21"/>
                <w:lang w:val="en-US" w:eastAsia="zh-CN"/>
              </w:rPr>
              <w:t>20</w:t>
            </w:r>
            <w:r>
              <w:rPr>
                <w:rFonts w:hint="default" w:ascii="Times New Roman" w:hAnsi="Times New Roman" w:eastAsia="宋体" w:cs="Times New Roman"/>
                <w:kern w:val="2"/>
                <w:sz w:val="21"/>
                <w:szCs w:val="21"/>
              </w:rPr>
              <w:t>名员工，年工作</w:t>
            </w:r>
            <w:r>
              <w:rPr>
                <w:rFonts w:hint="default" w:ascii="Times New Roman" w:hAnsi="Times New Roman" w:eastAsia="宋体" w:cs="Times New Roman"/>
                <w:kern w:val="2"/>
                <w:sz w:val="21"/>
                <w:szCs w:val="21"/>
                <w:lang w:val="en-US" w:eastAsia="zh-CN"/>
              </w:rPr>
              <w:t>330</w:t>
            </w:r>
            <w:r>
              <w:rPr>
                <w:rFonts w:hint="default" w:ascii="Times New Roman" w:hAnsi="Times New Roman" w:eastAsia="宋体" w:cs="Times New Roman"/>
                <w:kern w:val="2"/>
                <w:sz w:val="21"/>
                <w:szCs w:val="21"/>
              </w:rPr>
              <w:t>天，生活垃圾按1.0kg/d·人计算，则生活垃圾产生量约为</w:t>
            </w:r>
            <w:r>
              <w:rPr>
                <w:rFonts w:hint="default" w:ascii="Times New Roman" w:hAnsi="Times New Roman" w:eastAsia="宋体" w:cs="Times New Roman"/>
                <w:kern w:val="2"/>
                <w:sz w:val="21"/>
                <w:szCs w:val="21"/>
                <w:lang w:val="en-US" w:eastAsia="zh-CN"/>
              </w:rPr>
              <w:t>6.6</w:t>
            </w:r>
            <w:r>
              <w:rPr>
                <w:rFonts w:hint="default" w:ascii="Times New Roman" w:hAnsi="Times New Roman" w:eastAsia="宋体" w:cs="Times New Roman"/>
                <w:kern w:val="2"/>
                <w:sz w:val="21"/>
                <w:szCs w:val="21"/>
              </w:rPr>
              <w:t>t/a，由环卫部门定期清理外运</w:t>
            </w:r>
          </w:p>
          <w:p>
            <w:pPr>
              <w:pStyle w:val="18"/>
              <w:spacing w:line="360" w:lineRule="auto"/>
              <w:ind w:left="0" w:leftChars="0" w:right="195" w:rightChars="93" w:firstLine="420" w:firstLineChars="200"/>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rPr>
              <w:t>感染性废物</w:t>
            </w:r>
            <w:r>
              <w:rPr>
                <w:rFonts w:hint="default" w:ascii="Times New Roman" w:hAnsi="Times New Roman" w:eastAsia="宋体" w:cs="Times New Roman"/>
                <w:kern w:val="2"/>
                <w:sz w:val="21"/>
                <w:szCs w:val="21"/>
                <w:lang w:eastAsia="zh-CN"/>
              </w:rPr>
              <w:t>：</w:t>
            </w:r>
            <w:r>
              <w:rPr>
                <w:rFonts w:hint="default" w:ascii="Times New Roman" w:hAnsi="Times New Roman" w:eastAsia="宋体" w:cs="Times New Roman"/>
                <w:kern w:val="2"/>
                <w:sz w:val="21"/>
                <w:szCs w:val="21"/>
                <w:lang w:val="en-US" w:eastAsia="zh-CN"/>
              </w:rPr>
              <w:t>一次性医疗用品、消毒剂、清洁剂、消毒棉</w:t>
            </w:r>
          </w:p>
          <w:p>
            <w:pPr>
              <w:pStyle w:val="18"/>
              <w:spacing w:line="360" w:lineRule="auto"/>
              <w:ind w:left="0" w:leftChars="0" w:right="195" w:rightChars="93" w:firstLine="420" w:firstLineChars="200"/>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病理性废物：动物组织、器官、肢体</w:t>
            </w:r>
          </w:p>
          <w:p>
            <w:pPr>
              <w:pStyle w:val="18"/>
              <w:spacing w:line="360" w:lineRule="auto"/>
              <w:ind w:left="0" w:leftChars="0" w:right="195" w:rightChars="93" w:firstLine="420" w:firstLineChars="200"/>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根据企业提供的资料与同类行业进行类比，本项目医疗废物产生量约为0.1t/a，存放在医疗废物存储间，医疗废物应及时清理，本项目医疗废物委托有资质单位进行合理处置。</w:t>
            </w:r>
          </w:p>
          <w:p>
            <w:pPr>
              <w:pStyle w:val="18"/>
              <w:spacing w:line="360" w:lineRule="auto"/>
              <w:ind w:left="0" w:leftChars="0" w:right="195" w:rightChars="93" w:firstLine="0" w:firstLineChars="0"/>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（2）固体废物处置利用情况</w:t>
            </w:r>
          </w:p>
          <w:p>
            <w:pPr>
              <w:pStyle w:val="18"/>
              <w:spacing w:line="360" w:lineRule="auto"/>
              <w:ind w:left="0" w:leftChars="0" w:right="195" w:rightChars="93" w:firstLine="420" w:firstLineChars="200"/>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rPr>
              <w:t>建设项目固体废物产生及处置方式见表4-</w:t>
            </w:r>
            <w:r>
              <w:rPr>
                <w:rFonts w:hint="default" w:ascii="Times New Roman" w:hAnsi="Times New Roman" w:eastAsia="宋体" w:cs="Times New Roman"/>
                <w:kern w:val="2"/>
                <w:sz w:val="21"/>
                <w:szCs w:val="21"/>
                <w:lang w:val="en-US" w:eastAsia="zh-CN"/>
              </w:rPr>
              <w:t>9</w:t>
            </w:r>
            <w:r>
              <w:rPr>
                <w:rFonts w:hint="default" w:ascii="Times New Roman" w:hAnsi="Times New Roman" w:eastAsia="宋体" w:cs="Times New Roman"/>
                <w:kern w:val="2"/>
                <w:sz w:val="21"/>
                <w:szCs w:val="21"/>
              </w:rPr>
              <w:t>。</w:t>
            </w:r>
          </w:p>
          <w:p>
            <w:pPr>
              <w:widowControl/>
              <w:ind w:firstLine="2530" w:firstLineChars="1200"/>
              <w:jc w:val="both"/>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表4-</w:t>
            </w:r>
            <w:r>
              <w:rPr>
                <w:rFonts w:hint="default" w:ascii="Times New Roman" w:hAnsi="Times New Roman" w:eastAsia="宋体" w:cs="Times New Roman"/>
                <w:b/>
                <w:bCs/>
                <w:sz w:val="21"/>
                <w:szCs w:val="21"/>
                <w:lang w:val="en-US" w:eastAsia="zh-CN"/>
              </w:rPr>
              <w:t>9</w:t>
            </w:r>
            <w:r>
              <w:rPr>
                <w:rFonts w:hint="default" w:ascii="Times New Roman" w:hAnsi="Times New Roman" w:eastAsia="宋体" w:cs="Times New Roman"/>
                <w:b/>
                <w:bCs/>
                <w:sz w:val="21"/>
                <w:szCs w:val="21"/>
              </w:rPr>
              <w:t>建设项目副产物产生情况汇总表</w:t>
            </w:r>
          </w:p>
          <w:tbl>
            <w:tblPr>
              <w:tblStyle w:val="36"/>
              <w:tblW w:w="4994"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469"/>
              <w:gridCol w:w="1035"/>
              <w:gridCol w:w="961"/>
              <w:gridCol w:w="739"/>
              <w:gridCol w:w="1060"/>
              <w:gridCol w:w="1333"/>
              <w:gridCol w:w="753"/>
              <w:gridCol w:w="670"/>
              <w:gridCol w:w="183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90" w:hRule="atLeast"/>
                <w:jc w:val="center"/>
              </w:trPr>
              <w:tc>
                <w:tcPr>
                  <w:tcW w:w="265" w:type="pct"/>
                  <w:vMerge w:val="restar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序号</w:t>
                  </w:r>
                </w:p>
              </w:tc>
              <w:tc>
                <w:tcPr>
                  <w:tcW w:w="584" w:type="pct"/>
                  <w:vMerge w:val="restar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副产物名称</w:t>
                  </w:r>
                </w:p>
              </w:tc>
              <w:tc>
                <w:tcPr>
                  <w:tcW w:w="542" w:type="pct"/>
                  <w:vMerge w:val="restar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产生工序</w:t>
                  </w:r>
                </w:p>
              </w:tc>
              <w:tc>
                <w:tcPr>
                  <w:tcW w:w="417" w:type="pct"/>
                  <w:vMerge w:val="restar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形态</w:t>
                  </w:r>
                </w:p>
              </w:tc>
              <w:tc>
                <w:tcPr>
                  <w:tcW w:w="598" w:type="pct"/>
                  <w:vMerge w:val="restar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主要成分</w:t>
                  </w:r>
                </w:p>
              </w:tc>
              <w:tc>
                <w:tcPr>
                  <w:tcW w:w="752" w:type="pct"/>
                  <w:vMerge w:val="restar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预测产生量</w:t>
                  </w:r>
                </w:p>
              </w:tc>
              <w:tc>
                <w:tcPr>
                  <w:tcW w:w="1839" w:type="pct"/>
                  <w:gridSpan w:val="3"/>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种类判断*</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3" w:hRule="atLeast"/>
                <w:jc w:val="center"/>
              </w:trPr>
              <w:tc>
                <w:tcPr>
                  <w:tcW w:w="265" w:type="pct"/>
                  <w:vMerge w:val="continue"/>
                  <w:vAlign w:val="center"/>
                </w:tcPr>
                <w:p>
                  <w:pPr>
                    <w:jc w:val="center"/>
                    <w:rPr>
                      <w:rFonts w:hint="default" w:ascii="Times New Roman" w:hAnsi="Times New Roman" w:eastAsia="宋体" w:cs="Times New Roman"/>
                      <w:color w:val="auto"/>
                      <w:sz w:val="18"/>
                      <w:szCs w:val="18"/>
                    </w:rPr>
                  </w:pPr>
                </w:p>
              </w:tc>
              <w:tc>
                <w:tcPr>
                  <w:tcW w:w="584" w:type="pct"/>
                  <w:vMerge w:val="continue"/>
                  <w:vAlign w:val="center"/>
                </w:tcPr>
                <w:p>
                  <w:pPr>
                    <w:jc w:val="center"/>
                    <w:rPr>
                      <w:rFonts w:hint="default" w:ascii="Times New Roman" w:hAnsi="Times New Roman" w:eastAsia="宋体" w:cs="Times New Roman"/>
                      <w:color w:val="auto"/>
                      <w:sz w:val="18"/>
                      <w:szCs w:val="18"/>
                    </w:rPr>
                  </w:pPr>
                </w:p>
              </w:tc>
              <w:tc>
                <w:tcPr>
                  <w:tcW w:w="542" w:type="pct"/>
                  <w:vMerge w:val="continue"/>
                  <w:vAlign w:val="center"/>
                </w:tcPr>
                <w:p>
                  <w:pPr>
                    <w:jc w:val="center"/>
                    <w:rPr>
                      <w:rFonts w:hint="default" w:ascii="Times New Roman" w:hAnsi="Times New Roman" w:eastAsia="宋体" w:cs="Times New Roman"/>
                      <w:color w:val="auto"/>
                      <w:sz w:val="18"/>
                      <w:szCs w:val="18"/>
                    </w:rPr>
                  </w:pPr>
                </w:p>
              </w:tc>
              <w:tc>
                <w:tcPr>
                  <w:tcW w:w="417" w:type="pct"/>
                  <w:vMerge w:val="continue"/>
                  <w:vAlign w:val="center"/>
                </w:tcPr>
                <w:p>
                  <w:pPr>
                    <w:jc w:val="center"/>
                    <w:rPr>
                      <w:rFonts w:hint="default" w:ascii="Times New Roman" w:hAnsi="Times New Roman" w:eastAsia="宋体" w:cs="Times New Roman"/>
                      <w:color w:val="auto"/>
                      <w:sz w:val="18"/>
                      <w:szCs w:val="18"/>
                    </w:rPr>
                  </w:pPr>
                </w:p>
              </w:tc>
              <w:tc>
                <w:tcPr>
                  <w:tcW w:w="598" w:type="pct"/>
                  <w:vMerge w:val="continue"/>
                  <w:vAlign w:val="center"/>
                </w:tcPr>
                <w:p>
                  <w:pPr>
                    <w:jc w:val="center"/>
                    <w:rPr>
                      <w:rFonts w:hint="default" w:ascii="Times New Roman" w:hAnsi="Times New Roman" w:eastAsia="宋体" w:cs="Times New Roman"/>
                      <w:color w:val="auto"/>
                      <w:sz w:val="18"/>
                      <w:szCs w:val="18"/>
                    </w:rPr>
                  </w:pPr>
                </w:p>
              </w:tc>
              <w:tc>
                <w:tcPr>
                  <w:tcW w:w="752" w:type="pct"/>
                  <w:vMerge w:val="continue"/>
                  <w:vAlign w:val="center"/>
                </w:tcPr>
                <w:p>
                  <w:pPr>
                    <w:jc w:val="center"/>
                    <w:rPr>
                      <w:rFonts w:hint="default" w:ascii="Times New Roman" w:hAnsi="Times New Roman" w:eastAsia="宋体" w:cs="Times New Roman"/>
                      <w:color w:val="auto"/>
                      <w:sz w:val="18"/>
                      <w:szCs w:val="18"/>
                    </w:rPr>
                  </w:pPr>
                </w:p>
              </w:tc>
              <w:tc>
                <w:tcPr>
                  <w:tcW w:w="425"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固体废物</w:t>
                  </w:r>
                </w:p>
              </w:tc>
              <w:tc>
                <w:tcPr>
                  <w:tcW w:w="378"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副产品</w:t>
                  </w:r>
                </w:p>
              </w:tc>
              <w:tc>
                <w:tcPr>
                  <w:tcW w:w="1036"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判定依据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265"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w:t>
                  </w:r>
                </w:p>
              </w:tc>
              <w:tc>
                <w:tcPr>
                  <w:tcW w:w="584"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感染性废 物</w:t>
                  </w:r>
                </w:p>
              </w:tc>
              <w:tc>
                <w:tcPr>
                  <w:tcW w:w="542"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诊疗、手术</w:t>
                  </w:r>
                </w:p>
              </w:tc>
              <w:tc>
                <w:tcPr>
                  <w:tcW w:w="417"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固体</w:t>
                  </w:r>
                </w:p>
              </w:tc>
              <w:tc>
                <w:tcPr>
                  <w:tcW w:w="598"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一次性医疗用</w:t>
                  </w:r>
                </w:p>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品、消毒剂、清洁剂、消毒棉</w:t>
                  </w:r>
                </w:p>
              </w:tc>
              <w:tc>
                <w:tcPr>
                  <w:tcW w:w="752"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kern w:val="2"/>
                      <w:sz w:val="18"/>
                      <w:szCs w:val="18"/>
                      <w:lang w:val="en-US" w:eastAsia="zh-CN"/>
                    </w:rPr>
                    <w:t>0.1t/a</w:t>
                  </w:r>
                </w:p>
              </w:tc>
              <w:tc>
                <w:tcPr>
                  <w:tcW w:w="425"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w:t>
                  </w:r>
                </w:p>
              </w:tc>
              <w:tc>
                <w:tcPr>
                  <w:tcW w:w="378"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w:t>
                  </w:r>
                </w:p>
              </w:tc>
              <w:tc>
                <w:tcPr>
                  <w:tcW w:w="1036" w:type="pct"/>
                  <w:vMerge w:val="restar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《固体废物鉴别标准通则》（GB34330-2017）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265"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w:t>
                  </w:r>
                </w:p>
              </w:tc>
              <w:tc>
                <w:tcPr>
                  <w:tcW w:w="584"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病理性废</w:t>
                  </w:r>
                </w:p>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物</w:t>
                  </w:r>
                </w:p>
              </w:tc>
              <w:tc>
                <w:tcPr>
                  <w:tcW w:w="542"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手术</w:t>
                  </w:r>
                </w:p>
              </w:tc>
              <w:tc>
                <w:tcPr>
                  <w:tcW w:w="417"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固体</w:t>
                  </w:r>
                </w:p>
              </w:tc>
              <w:tc>
                <w:tcPr>
                  <w:tcW w:w="598"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动物组织、器</w:t>
                  </w:r>
                </w:p>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官、肢体</w:t>
                  </w:r>
                </w:p>
              </w:tc>
              <w:tc>
                <w:tcPr>
                  <w:tcW w:w="752"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kern w:val="2"/>
                      <w:sz w:val="18"/>
                      <w:szCs w:val="18"/>
                      <w:lang w:val="en-US" w:eastAsia="zh-CN"/>
                    </w:rPr>
                    <w:t>0.1t/a</w:t>
                  </w:r>
                </w:p>
              </w:tc>
              <w:tc>
                <w:tcPr>
                  <w:tcW w:w="425"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w:t>
                  </w:r>
                </w:p>
              </w:tc>
              <w:tc>
                <w:tcPr>
                  <w:tcW w:w="378"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w:t>
                  </w:r>
                </w:p>
              </w:tc>
              <w:tc>
                <w:tcPr>
                  <w:tcW w:w="1036" w:type="pct"/>
                  <w:vMerge w:val="continue"/>
                  <w:vAlign w:val="center"/>
                </w:tcPr>
                <w:p>
                  <w:pPr>
                    <w:jc w:val="center"/>
                    <w:rPr>
                      <w:rFonts w:hint="default" w:ascii="Times New Roman" w:hAnsi="Times New Roman" w:eastAsia="宋体" w:cs="Times New Roman"/>
                      <w:color w:val="auto"/>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265" w:type="pct"/>
                  <w:vAlign w:val="center"/>
                </w:tcPr>
                <w:p>
                  <w:pPr>
                    <w:jc w:val="center"/>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val="en-US" w:eastAsia="zh-CN"/>
                    </w:rPr>
                    <w:t>3</w:t>
                  </w:r>
                </w:p>
              </w:tc>
              <w:tc>
                <w:tcPr>
                  <w:tcW w:w="584"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生活垃圾</w:t>
                  </w:r>
                </w:p>
              </w:tc>
              <w:tc>
                <w:tcPr>
                  <w:tcW w:w="542"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职工办公、生活</w:t>
                  </w:r>
                </w:p>
              </w:tc>
              <w:tc>
                <w:tcPr>
                  <w:tcW w:w="417"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固体</w:t>
                  </w:r>
                </w:p>
              </w:tc>
              <w:tc>
                <w:tcPr>
                  <w:tcW w:w="598"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生活垃圾</w:t>
                  </w:r>
                </w:p>
              </w:tc>
              <w:tc>
                <w:tcPr>
                  <w:tcW w:w="752" w:type="pc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6.6</w:t>
                  </w:r>
                  <w:r>
                    <w:rPr>
                      <w:rFonts w:hint="default" w:ascii="Times New Roman" w:hAnsi="Times New Roman" w:eastAsia="宋体" w:cs="Times New Roman"/>
                      <w:color w:val="auto"/>
                      <w:sz w:val="18"/>
                      <w:szCs w:val="18"/>
                    </w:rPr>
                    <w:t>t/a</w:t>
                  </w:r>
                </w:p>
              </w:tc>
              <w:tc>
                <w:tcPr>
                  <w:tcW w:w="425"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w:t>
                  </w:r>
                </w:p>
              </w:tc>
              <w:tc>
                <w:tcPr>
                  <w:tcW w:w="378" w:type="pc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w:t>
                  </w:r>
                </w:p>
              </w:tc>
              <w:tc>
                <w:tcPr>
                  <w:tcW w:w="1036" w:type="pct"/>
                  <w:vMerge w:val="continue"/>
                  <w:vAlign w:val="center"/>
                </w:tcPr>
                <w:p>
                  <w:pPr>
                    <w:jc w:val="center"/>
                    <w:rPr>
                      <w:rFonts w:hint="default" w:ascii="Times New Roman" w:hAnsi="Times New Roman" w:eastAsia="宋体" w:cs="Times New Roman"/>
                      <w:color w:val="FF0000"/>
                      <w:sz w:val="18"/>
                      <w:szCs w:val="18"/>
                    </w:rPr>
                  </w:pPr>
                </w:p>
              </w:tc>
            </w:tr>
          </w:tbl>
          <w:p>
            <w:pPr>
              <w:ind w:firstLine="2108" w:firstLineChars="1000"/>
              <w:jc w:val="both"/>
              <w:rPr>
                <w:b/>
                <w:bCs/>
                <w:szCs w:val="21"/>
              </w:rPr>
            </w:pPr>
          </w:p>
          <w:p>
            <w:pPr>
              <w:ind w:firstLine="2741" w:firstLineChars="1300"/>
              <w:jc w:val="both"/>
              <w:rPr>
                <w:rFonts w:hint="default" w:ascii="Times New Roman" w:hAnsi="Times New Roman" w:eastAsia="宋体" w:cs="Times New Roman"/>
                <w:b/>
                <w:szCs w:val="21"/>
              </w:rPr>
            </w:pPr>
            <w:r>
              <w:rPr>
                <w:rFonts w:hint="default" w:ascii="Times New Roman" w:hAnsi="Times New Roman" w:eastAsia="宋体" w:cs="Times New Roman"/>
                <w:b/>
                <w:bCs/>
                <w:szCs w:val="21"/>
              </w:rPr>
              <w:t>表4-</w:t>
            </w:r>
            <w:r>
              <w:rPr>
                <w:rFonts w:hint="default" w:ascii="Times New Roman" w:hAnsi="Times New Roman" w:eastAsia="宋体" w:cs="Times New Roman"/>
                <w:b/>
                <w:bCs/>
                <w:szCs w:val="21"/>
                <w:lang w:val="en-US" w:eastAsia="zh-CN"/>
              </w:rPr>
              <w:t>10</w:t>
            </w:r>
            <w:r>
              <w:rPr>
                <w:rFonts w:hint="default" w:ascii="Times New Roman" w:hAnsi="Times New Roman" w:eastAsia="宋体" w:cs="Times New Roman"/>
                <w:b/>
                <w:szCs w:val="21"/>
              </w:rPr>
              <w:t>建设项目固废产生情况汇总表</w:t>
            </w:r>
          </w:p>
          <w:tbl>
            <w:tblPr>
              <w:tblStyle w:val="36"/>
              <w:tblW w:w="0" w:type="auto"/>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269"/>
              <w:gridCol w:w="521"/>
              <w:gridCol w:w="439"/>
              <w:gridCol w:w="783"/>
              <w:gridCol w:w="274"/>
              <w:gridCol w:w="1280"/>
              <w:gridCol w:w="1547"/>
              <w:gridCol w:w="585"/>
              <w:gridCol w:w="537"/>
              <w:gridCol w:w="910"/>
              <w:gridCol w:w="863"/>
              <w:gridCol w:w="864"/>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269" w:type="dxa"/>
                  <w:vAlign w:val="center"/>
                </w:tcPr>
                <w:p>
                  <w:pP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序号</w:t>
                  </w:r>
                </w:p>
              </w:tc>
              <w:tc>
                <w:tcPr>
                  <w:tcW w:w="521" w:type="dxa"/>
                  <w:vAlign w:val="center"/>
                </w:tcPr>
                <w:p>
                  <w:pPr>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固废名称</w:t>
                  </w:r>
                </w:p>
              </w:tc>
              <w:tc>
                <w:tcPr>
                  <w:tcW w:w="439" w:type="dxa"/>
                  <w:vAlign w:val="center"/>
                </w:tcPr>
                <w:p>
                  <w:pPr>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属性</w:t>
                  </w:r>
                </w:p>
              </w:tc>
              <w:tc>
                <w:tcPr>
                  <w:tcW w:w="783" w:type="dxa"/>
                  <w:vAlign w:val="center"/>
                </w:tcPr>
                <w:p>
                  <w:pPr>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产生工序</w:t>
                  </w:r>
                </w:p>
              </w:tc>
              <w:tc>
                <w:tcPr>
                  <w:tcW w:w="274" w:type="dxa"/>
                  <w:vAlign w:val="center"/>
                </w:tcPr>
                <w:p>
                  <w:pPr>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形态</w:t>
                  </w:r>
                </w:p>
              </w:tc>
              <w:tc>
                <w:tcPr>
                  <w:tcW w:w="1280" w:type="dxa"/>
                  <w:vAlign w:val="center"/>
                </w:tcPr>
                <w:p>
                  <w:pPr>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主要成分</w:t>
                  </w:r>
                </w:p>
              </w:tc>
              <w:tc>
                <w:tcPr>
                  <w:tcW w:w="1547" w:type="dxa"/>
                  <w:vAlign w:val="center"/>
                </w:tcPr>
                <w:p>
                  <w:pPr>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危险特性鉴别方法</w:t>
                  </w:r>
                </w:p>
              </w:tc>
              <w:tc>
                <w:tcPr>
                  <w:tcW w:w="585" w:type="dxa"/>
                  <w:vAlign w:val="center"/>
                </w:tcPr>
                <w:p>
                  <w:pPr>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危险特性</w:t>
                  </w:r>
                </w:p>
              </w:tc>
              <w:tc>
                <w:tcPr>
                  <w:tcW w:w="537" w:type="dxa"/>
                  <w:vAlign w:val="center"/>
                </w:tcPr>
                <w:p>
                  <w:pPr>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废物类别</w:t>
                  </w:r>
                </w:p>
              </w:tc>
              <w:tc>
                <w:tcPr>
                  <w:tcW w:w="910" w:type="dxa"/>
                  <w:vAlign w:val="center"/>
                </w:tcPr>
                <w:p>
                  <w:pPr>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废物</w:t>
                  </w:r>
                </w:p>
                <w:p>
                  <w:pPr>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代码</w:t>
                  </w:r>
                </w:p>
              </w:tc>
              <w:tc>
                <w:tcPr>
                  <w:tcW w:w="863" w:type="dxa"/>
                  <w:vAlign w:val="center"/>
                </w:tcPr>
                <w:p>
                  <w:pPr>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估算产生量</w:t>
                  </w:r>
                </w:p>
              </w:tc>
              <w:tc>
                <w:tcPr>
                  <w:tcW w:w="864" w:type="dxa"/>
                </w:tcPr>
                <w:p>
                  <w:pPr>
                    <w:jc w:val="center"/>
                    <w:rPr>
                      <w:rFonts w:hint="default" w:ascii="Times New Roman" w:hAnsi="Times New Roman" w:eastAsia="宋体" w:cs="Times New Roman"/>
                      <w:b/>
                      <w:bCs/>
                      <w:color w:val="auto"/>
                      <w:sz w:val="18"/>
                      <w:szCs w:val="18"/>
                    </w:rPr>
                  </w:pPr>
                  <w:r>
                    <w:rPr>
                      <w:rFonts w:hint="default" w:ascii="Times New Roman" w:hAnsi="Times New Roman" w:eastAsia="宋体" w:cs="Times New Roman"/>
                      <w:b/>
                      <w:bCs/>
                      <w:color w:val="auto"/>
                      <w:sz w:val="18"/>
                      <w:szCs w:val="18"/>
                    </w:rPr>
                    <w:t>处置方式</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269"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1</w:t>
                  </w:r>
                </w:p>
              </w:tc>
              <w:tc>
                <w:tcPr>
                  <w:tcW w:w="521"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感染性废物</w:t>
                  </w:r>
                </w:p>
              </w:tc>
              <w:tc>
                <w:tcPr>
                  <w:tcW w:w="439"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危险废物</w:t>
                  </w:r>
                </w:p>
              </w:tc>
              <w:tc>
                <w:tcPr>
                  <w:tcW w:w="783"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诊疗、手术</w:t>
                  </w:r>
                </w:p>
              </w:tc>
              <w:tc>
                <w:tcPr>
                  <w:tcW w:w="274"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固体</w:t>
                  </w:r>
                </w:p>
              </w:tc>
              <w:tc>
                <w:tcPr>
                  <w:tcW w:w="1280"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一次性医疗用</w:t>
                  </w:r>
                </w:p>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品、消毒剂、清洁剂、消毒棉</w:t>
                  </w:r>
                </w:p>
              </w:tc>
              <w:tc>
                <w:tcPr>
                  <w:tcW w:w="1547"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国家危险废物名录</w:t>
                  </w:r>
                </w:p>
              </w:tc>
              <w:tc>
                <w:tcPr>
                  <w:tcW w:w="585" w:type="dxa"/>
                  <w:vAlign w:val="center"/>
                </w:tcPr>
                <w:p>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In</w:t>
                  </w:r>
                </w:p>
              </w:tc>
              <w:tc>
                <w:tcPr>
                  <w:tcW w:w="537" w:type="dxa"/>
                  <w:vAlign w:val="center"/>
                </w:tcPr>
                <w:p>
                  <w:pPr>
                    <w:jc w:val="center"/>
                    <w:rPr>
                      <w:rFonts w:hint="default" w:ascii="Times New Roman" w:hAnsi="Times New Roman" w:eastAsia="宋体" w:cs="Times New Roman"/>
                      <w:color w:val="auto"/>
                      <w:sz w:val="18"/>
                      <w:szCs w:val="18"/>
                      <w:highlight w:val="none"/>
                      <w:lang w:val="en-US" w:eastAsia="zh-CN"/>
                    </w:rPr>
                  </w:pPr>
                  <w:r>
                    <w:rPr>
                      <w:rFonts w:hint="default" w:ascii="Times New Roman" w:hAnsi="Times New Roman" w:eastAsia="宋体" w:cs="Times New Roman"/>
                      <w:color w:val="auto"/>
                      <w:sz w:val="18"/>
                      <w:szCs w:val="18"/>
                      <w:highlight w:val="none"/>
                      <w:lang w:val="en-US" w:eastAsia="zh-CN"/>
                    </w:rPr>
                    <w:t>HW01</w:t>
                  </w:r>
                </w:p>
              </w:tc>
              <w:tc>
                <w:tcPr>
                  <w:tcW w:w="910"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841-001-01</w:t>
                  </w:r>
                </w:p>
              </w:tc>
              <w:tc>
                <w:tcPr>
                  <w:tcW w:w="863" w:type="dxa"/>
                  <w:vAlign w:val="center"/>
                </w:tcPr>
                <w:p>
                  <w:pPr>
                    <w:jc w:val="center"/>
                    <w:rPr>
                      <w:rFonts w:hint="default" w:ascii="Times New Roman" w:hAnsi="Times New Roman" w:eastAsia="宋体" w:cs="Times New Roman"/>
                      <w:color w:val="auto"/>
                      <w:sz w:val="18"/>
                      <w:szCs w:val="18"/>
                      <w:highlight w:val="yellow"/>
                    </w:rPr>
                  </w:pPr>
                  <w:r>
                    <w:rPr>
                      <w:rFonts w:hint="default" w:ascii="Times New Roman" w:hAnsi="Times New Roman" w:eastAsia="宋体" w:cs="Times New Roman"/>
                      <w:kern w:val="2"/>
                      <w:sz w:val="18"/>
                      <w:szCs w:val="18"/>
                      <w:lang w:val="en-US" w:eastAsia="zh-CN"/>
                    </w:rPr>
                    <w:t>0.1t/a</w:t>
                  </w:r>
                </w:p>
              </w:tc>
              <w:tc>
                <w:tcPr>
                  <w:tcW w:w="864" w:type="dxa"/>
                  <w:vMerge w:val="restart"/>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委托资质单位处置</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269"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2</w:t>
                  </w:r>
                </w:p>
              </w:tc>
              <w:tc>
                <w:tcPr>
                  <w:tcW w:w="521"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病理性废</w:t>
                  </w:r>
                </w:p>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物</w:t>
                  </w:r>
                </w:p>
              </w:tc>
              <w:tc>
                <w:tcPr>
                  <w:tcW w:w="439"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危险废物</w:t>
                  </w:r>
                </w:p>
              </w:tc>
              <w:tc>
                <w:tcPr>
                  <w:tcW w:w="783"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手术</w:t>
                  </w:r>
                </w:p>
              </w:tc>
              <w:tc>
                <w:tcPr>
                  <w:tcW w:w="274"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固体</w:t>
                  </w:r>
                </w:p>
              </w:tc>
              <w:tc>
                <w:tcPr>
                  <w:tcW w:w="1280"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动物组织、器</w:t>
                  </w:r>
                </w:p>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官、肢体</w:t>
                  </w:r>
                </w:p>
              </w:tc>
              <w:tc>
                <w:tcPr>
                  <w:tcW w:w="1547"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国家危险废物名录</w:t>
                  </w:r>
                </w:p>
              </w:tc>
              <w:tc>
                <w:tcPr>
                  <w:tcW w:w="585"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highlight w:val="none"/>
                      <w:lang w:val="en-US" w:eastAsia="zh-CN"/>
                    </w:rPr>
                    <w:t>In</w:t>
                  </w:r>
                </w:p>
              </w:tc>
              <w:tc>
                <w:tcPr>
                  <w:tcW w:w="537"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highlight w:val="none"/>
                      <w:lang w:val="en-US" w:eastAsia="zh-CN"/>
                    </w:rPr>
                    <w:t>HW01</w:t>
                  </w:r>
                </w:p>
              </w:tc>
              <w:tc>
                <w:tcPr>
                  <w:tcW w:w="910"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841-003-01</w:t>
                  </w:r>
                </w:p>
              </w:tc>
              <w:tc>
                <w:tcPr>
                  <w:tcW w:w="863" w:type="dxa"/>
                  <w:vAlign w:val="center"/>
                </w:tcPr>
                <w:p>
                  <w:pPr>
                    <w:jc w:val="center"/>
                    <w:rPr>
                      <w:rFonts w:hint="default" w:ascii="Times New Roman" w:hAnsi="Times New Roman" w:eastAsia="宋体" w:cs="Times New Roman"/>
                      <w:color w:val="auto"/>
                      <w:sz w:val="18"/>
                      <w:szCs w:val="18"/>
                      <w:highlight w:val="yellow"/>
                    </w:rPr>
                  </w:pPr>
                  <w:r>
                    <w:rPr>
                      <w:rFonts w:hint="default" w:ascii="Times New Roman" w:hAnsi="Times New Roman" w:eastAsia="宋体" w:cs="Times New Roman"/>
                      <w:kern w:val="2"/>
                      <w:sz w:val="18"/>
                      <w:szCs w:val="18"/>
                      <w:lang w:val="en-US" w:eastAsia="zh-CN"/>
                    </w:rPr>
                    <w:t>0.1t/a</w:t>
                  </w:r>
                </w:p>
              </w:tc>
              <w:tc>
                <w:tcPr>
                  <w:tcW w:w="864" w:type="dxa"/>
                  <w:vMerge w:val="continue"/>
                  <w:vAlign w:val="center"/>
                </w:tcPr>
                <w:p>
                  <w:pPr>
                    <w:jc w:val="center"/>
                    <w:rPr>
                      <w:rFonts w:hint="default" w:ascii="Times New Roman" w:hAnsi="Times New Roman" w:eastAsia="宋体" w:cs="Times New Roman"/>
                      <w:color w:val="auto"/>
                      <w:sz w:val="18"/>
                      <w:szCs w:val="18"/>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269" w:type="dxa"/>
                  <w:vAlign w:val="center"/>
                </w:tcPr>
                <w:p>
                  <w:pPr>
                    <w:jc w:val="center"/>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val="en-US" w:eastAsia="zh-CN"/>
                    </w:rPr>
                    <w:t>3</w:t>
                  </w:r>
                </w:p>
              </w:tc>
              <w:tc>
                <w:tcPr>
                  <w:tcW w:w="521"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生活垃圾</w:t>
                  </w:r>
                </w:p>
              </w:tc>
              <w:tc>
                <w:tcPr>
                  <w:tcW w:w="439"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一般固废</w:t>
                  </w:r>
                </w:p>
              </w:tc>
              <w:tc>
                <w:tcPr>
                  <w:tcW w:w="783"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职工办公、生活</w:t>
                  </w:r>
                </w:p>
              </w:tc>
              <w:tc>
                <w:tcPr>
                  <w:tcW w:w="274"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固体</w:t>
                  </w:r>
                </w:p>
              </w:tc>
              <w:tc>
                <w:tcPr>
                  <w:tcW w:w="1280"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rPr>
                    <w:t>生活垃圾</w:t>
                  </w:r>
                </w:p>
              </w:tc>
              <w:tc>
                <w:tcPr>
                  <w:tcW w:w="1547"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rPr>
                    <w:t>一般固体废物分类与代码</w:t>
                  </w:r>
                </w:p>
              </w:tc>
              <w:tc>
                <w:tcPr>
                  <w:tcW w:w="585" w:type="dxa"/>
                  <w:vAlign w:val="center"/>
                </w:tcPr>
                <w:p>
                  <w:pPr>
                    <w:jc w:val="center"/>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val="en-US" w:eastAsia="zh-CN"/>
                    </w:rPr>
                    <w:t>/</w:t>
                  </w:r>
                </w:p>
              </w:tc>
              <w:tc>
                <w:tcPr>
                  <w:tcW w:w="537" w:type="dxa"/>
                  <w:vAlign w:val="center"/>
                </w:tcPr>
                <w:p>
                  <w:pPr>
                    <w:jc w:val="center"/>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val="en-US" w:eastAsia="zh-CN"/>
                    </w:rPr>
                    <w:t>/</w:t>
                  </w:r>
                </w:p>
              </w:tc>
              <w:tc>
                <w:tcPr>
                  <w:tcW w:w="910"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rPr>
                    <w:t>99</w:t>
                  </w:r>
                </w:p>
              </w:tc>
              <w:tc>
                <w:tcPr>
                  <w:tcW w:w="863" w:type="dxa"/>
                  <w:vAlign w:val="center"/>
                </w:tcPr>
                <w:p>
                  <w:pPr>
                    <w:jc w:val="center"/>
                    <w:rPr>
                      <w:rFonts w:hint="default" w:ascii="Times New Roman" w:hAnsi="Times New Roman" w:eastAsia="宋体" w:cs="Times New Roman"/>
                      <w:color w:val="auto"/>
                      <w:sz w:val="18"/>
                      <w:szCs w:val="18"/>
                      <w:highlight w:val="yellow"/>
                    </w:rPr>
                  </w:pPr>
                  <w:r>
                    <w:rPr>
                      <w:rFonts w:hint="default" w:ascii="Times New Roman" w:hAnsi="Times New Roman" w:eastAsia="宋体" w:cs="Times New Roman"/>
                      <w:color w:val="auto"/>
                      <w:sz w:val="18"/>
                      <w:szCs w:val="18"/>
                      <w:lang w:val="en-US" w:eastAsia="zh-CN"/>
                    </w:rPr>
                    <w:t>6.6</w:t>
                  </w:r>
                  <w:r>
                    <w:rPr>
                      <w:rFonts w:hint="default" w:ascii="Times New Roman" w:hAnsi="Times New Roman" w:eastAsia="宋体" w:cs="Times New Roman"/>
                      <w:color w:val="auto"/>
                      <w:sz w:val="18"/>
                      <w:szCs w:val="18"/>
                    </w:rPr>
                    <w:t>t/a</w:t>
                  </w:r>
                </w:p>
              </w:tc>
              <w:tc>
                <w:tcPr>
                  <w:tcW w:w="864" w:type="dxa"/>
                  <w:vMerge w:val="continue"/>
                  <w:vAlign w:val="center"/>
                </w:tcPr>
                <w:p>
                  <w:pPr>
                    <w:jc w:val="center"/>
                    <w:rPr>
                      <w:rFonts w:hint="default" w:ascii="Times New Roman" w:hAnsi="Times New Roman" w:eastAsia="宋体" w:cs="Times New Roman"/>
                      <w:color w:val="auto"/>
                      <w:sz w:val="18"/>
                      <w:szCs w:val="18"/>
                    </w:rPr>
                  </w:pPr>
                </w:p>
              </w:tc>
            </w:tr>
          </w:tbl>
          <w:p>
            <w:pPr>
              <w:jc w:val="center"/>
              <w:rPr>
                <w:rFonts w:hint="default" w:ascii="Times New Roman" w:hAnsi="Times New Roman" w:cs="Times New Roman"/>
                <w:b/>
                <w:szCs w:val="21"/>
              </w:rPr>
            </w:pPr>
            <w:r>
              <w:rPr>
                <w:rFonts w:hint="default" w:ascii="Times New Roman" w:hAnsi="Times New Roman" w:cs="Times New Roman"/>
                <w:b/>
                <w:bCs/>
                <w:szCs w:val="21"/>
              </w:rPr>
              <w:t>表4-</w:t>
            </w:r>
            <w:r>
              <w:rPr>
                <w:rFonts w:hint="default" w:ascii="Times New Roman" w:hAnsi="Times New Roman" w:cs="Times New Roman"/>
                <w:b/>
                <w:bCs/>
                <w:szCs w:val="21"/>
                <w:lang w:val="en-US" w:eastAsia="zh-CN"/>
              </w:rPr>
              <w:t>11</w:t>
            </w:r>
            <w:r>
              <w:rPr>
                <w:rFonts w:hint="default" w:ascii="Times New Roman" w:hAnsi="Times New Roman" w:cs="Times New Roman"/>
                <w:b/>
                <w:sz w:val="21"/>
                <w:szCs w:val="21"/>
              </w:rPr>
              <w:t>危险废物汇总表</w:t>
            </w:r>
          </w:p>
          <w:tbl>
            <w:tblPr>
              <w:tblStyle w:val="36"/>
              <w:tblW w:w="4993"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406"/>
              <w:gridCol w:w="764"/>
              <w:gridCol w:w="801"/>
              <w:gridCol w:w="1192"/>
              <w:gridCol w:w="821"/>
              <w:gridCol w:w="862"/>
              <w:gridCol w:w="663"/>
              <w:gridCol w:w="734"/>
              <w:gridCol w:w="649"/>
              <w:gridCol w:w="649"/>
              <w:gridCol w:w="649"/>
              <w:gridCol w:w="66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87" w:hRule="atLeast"/>
                <w:jc w:val="center"/>
              </w:trPr>
              <w:tc>
                <w:tcPr>
                  <w:tcW w:w="229" w:type="pct"/>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序号</w:t>
                  </w:r>
                </w:p>
              </w:tc>
              <w:tc>
                <w:tcPr>
                  <w:tcW w:w="431" w:type="pct"/>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危险废物名称</w:t>
                  </w:r>
                </w:p>
              </w:tc>
              <w:tc>
                <w:tcPr>
                  <w:tcW w:w="452" w:type="pct"/>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危险废物类别</w:t>
                  </w:r>
                </w:p>
              </w:tc>
              <w:tc>
                <w:tcPr>
                  <w:tcW w:w="672" w:type="pct"/>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危险废物代码</w:t>
                  </w:r>
                </w:p>
              </w:tc>
              <w:tc>
                <w:tcPr>
                  <w:tcW w:w="463" w:type="pct"/>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产生量（吨/年）</w:t>
                  </w:r>
                </w:p>
              </w:tc>
              <w:tc>
                <w:tcPr>
                  <w:tcW w:w="486" w:type="pct"/>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产生工序及装置</w:t>
                  </w:r>
                </w:p>
              </w:tc>
              <w:tc>
                <w:tcPr>
                  <w:tcW w:w="374" w:type="pct"/>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形态</w:t>
                  </w:r>
                </w:p>
              </w:tc>
              <w:tc>
                <w:tcPr>
                  <w:tcW w:w="414" w:type="pct"/>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主要成分</w:t>
                  </w:r>
                </w:p>
              </w:tc>
              <w:tc>
                <w:tcPr>
                  <w:tcW w:w="366" w:type="pct"/>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有害成分</w:t>
                  </w:r>
                </w:p>
              </w:tc>
              <w:tc>
                <w:tcPr>
                  <w:tcW w:w="366" w:type="pct"/>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产废周期</w:t>
                  </w:r>
                </w:p>
              </w:tc>
              <w:tc>
                <w:tcPr>
                  <w:tcW w:w="366" w:type="pct"/>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危险</w:t>
                  </w:r>
                </w:p>
                <w:p>
                  <w:pPr>
                    <w:jc w:val="center"/>
                    <w:rPr>
                      <w:rFonts w:hint="eastAsia" w:ascii="宋体" w:hAnsi="宋体" w:eastAsia="宋体" w:cs="宋体"/>
                      <w:b/>
                      <w:bCs/>
                      <w:sz w:val="18"/>
                      <w:szCs w:val="18"/>
                    </w:rPr>
                  </w:pPr>
                  <w:r>
                    <w:rPr>
                      <w:rFonts w:hint="eastAsia" w:ascii="宋体" w:hAnsi="宋体" w:eastAsia="宋体" w:cs="宋体"/>
                      <w:b/>
                      <w:bCs/>
                      <w:sz w:val="18"/>
                      <w:szCs w:val="18"/>
                    </w:rPr>
                    <w:t>特性</w:t>
                  </w:r>
                </w:p>
              </w:tc>
              <w:tc>
                <w:tcPr>
                  <w:tcW w:w="375" w:type="pct"/>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污染防治措施</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7" w:hRule="atLeast"/>
                <w:jc w:val="center"/>
              </w:trPr>
              <w:tc>
                <w:tcPr>
                  <w:tcW w:w="229"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1</w:t>
                  </w:r>
                </w:p>
              </w:tc>
              <w:tc>
                <w:tcPr>
                  <w:tcW w:w="431" w:type="pct"/>
                  <w:vAlign w:val="center"/>
                </w:tcPr>
                <w:p>
                  <w:pPr>
                    <w:jc w:val="center"/>
                    <w:rPr>
                      <w:rFonts w:hint="eastAsia" w:ascii="宋体" w:hAnsi="宋体" w:eastAsia="宋体" w:cs="宋体"/>
                      <w:sz w:val="18"/>
                      <w:szCs w:val="18"/>
                    </w:rPr>
                  </w:pPr>
                  <w:r>
                    <w:rPr>
                      <w:rFonts w:hint="eastAsia" w:ascii="宋体" w:hAnsi="宋体" w:eastAsia="宋体" w:cs="宋体"/>
                      <w:color w:val="auto"/>
                      <w:sz w:val="18"/>
                      <w:szCs w:val="18"/>
                    </w:rPr>
                    <w:t>感染性废物</w:t>
                  </w:r>
                </w:p>
              </w:tc>
              <w:tc>
                <w:tcPr>
                  <w:tcW w:w="452" w:type="pct"/>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HW01</w:t>
                  </w:r>
                </w:p>
              </w:tc>
              <w:tc>
                <w:tcPr>
                  <w:tcW w:w="672"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841-001-01</w:t>
                  </w:r>
                </w:p>
              </w:tc>
              <w:tc>
                <w:tcPr>
                  <w:tcW w:w="463" w:type="pct"/>
                  <w:vAlign w:val="center"/>
                </w:tcPr>
                <w:p>
                  <w:pPr>
                    <w:jc w:val="center"/>
                    <w:rPr>
                      <w:rFonts w:hint="eastAsia" w:ascii="宋体" w:hAnsi="宋体" w:eastAsia="宋体" w:cs="宋体"/>
                      <w:sz w:val="18"/>
                      <w:szCs w:val="18"/>
                      <w:highlight w:val="yellow"/>
                    </w:rPr>
                  </w:pPr>
                  <w:r>
                    <w:rPr>
                      <w:rFonts w:hint="eastAsia" w:ascii="宋体" w:hAnsi="宋体" w:eastAsia="宋体" w:cs="宋体"/>
                      <w:kern w:val="2"/>
                      <w:sz w:val="18"/>
                      <w:szCs w:val="18"/>
                      <w:lang w:val="en-US" w:eastAsia="zh-CN"/>
                    </w:rPr>
                    <w:t>0.1t/a</w:t>
                  </w:r>
                </w:p>
              </w:tc>
              <w:tc>
                <w:tcPr>
                  <w:tcW w:w="486"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诊疗、手术</w:t>
                  </w:r>
                </w:p>
              </w:tc>
              <w:tc>
                <w:tcPr>
                  <w:tcW w:w="374"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固体</w:t>
                  </w:r>
                </w:p>
              </w:tc>
              <w:tc>
                <w:tcPr>
                  <w:tcW w:w="414" w:type="pct"/>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一次性医疗用</w:t>
                  </w:r>
                </w:p>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品、消毒剂、清洁剂、消毒棉</w:t>
                  </w:r>
                </w:p>
              </w:tc>
              <w:tc>
                <w:tcPr>
                  <w:tcW w:w="366" w:type="pct"/>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一次性医疗用</w:t>
                  </w:r>
                </w:p>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品、消毒剂、清洁剂、消毒棉</w:t>
                  </w:r>
                </w:p>
              </w:tc>
              <w:tc>
                <w:tcPr>
                  <w:tcW w:w="366" w:type="pct"/>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每天</w:t>
                  </w:r>
                </w:p>
              </w:tc>
              <w:tc>
                <w:tcPr>
                  <w:tcW w:w="366" w:type="pct"/>
                  <w:vAlign w:val="center"/>
                </w:tcPr>
                <w:p>
                  <w:pPr>
                    <w:jc w:val="center"/>
                    <w:rPr>
                      <w:rFonts w:hint="eastAsia" w:ascii="宋体" w:hAnsi="宋体" w:eastAsia="宋体" w:cs="宋体"/>
                      <w:sz w:val="18"/>
                      <w:szCs w:val="18"/>
                    </w:rPr>
                  </w:pPr>
                  <w:r>
                    <w:rPr>
                      <w:rFonts w:hint="eastAsia" w:ascii="宋体" w:hAnsi="宋体" w:eastAsia="宋体" w:cs="宋体"/>
                      <w:color w:val="auto"/>
                      <w:sz w:val="18"/>
                      <w:szCs w:val="18"/>
                      <w:highlight w:val="none"/>
                      <w:lang w:val="en-US" w:eastAsia="zh-CN"/>
                    </w:rPr>
                    <w:t>In</w:t>
                  </w:r>
                </w:p>
              </w:tc>
              <w:tc>
                <w:tcPr>
                  <w:tcW w:w="375" w:type="pct"/>
                  <w:vMerge w:val="restart"/>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委托资质单位处理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5" w:hRule="atLeast"/>
                <w:jc w:val="center"/>
              </w:trPr>
              <w:tc>
                <w:tcPr>
                  <w:tcW w:w="229"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2</w:t>
                  </w:r>
                </w:p>
              </w:tc>
              <w:tc>
                <w:tcPr>
                  <w:tcW w:w="431" w:type="pct"/>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病理性废</w:t>
                  </w:r>
                </w:p>
                <w:p>
                  <w:pPr>
                    <w:jc w:val="center"/>
                    <w:rPr>
                      <w:rFonts w:hint="eastAsia" w:ascii="宋体" w:hAnsi="宋体" w:eastAsia="宋体" w:cs="宋体"/>
                      <w:sz w:val="18"/>
                      <w:szCs w:val="18"/>
                    </w:rPr>
                  </w:pPr>
                  <w:r>
                    <w:rPr>
                      <w:rFonts w:hint="eastAsia" w:ascii="宋体" w:hAnsi="宋体" w:eastAsia="宋体" w:cs="宋体"/>
                      <w:color w:val="auto"/>
                      <w:sz w:val="18"/>
                      <w:szCs w:val="18"/>
                    </w:rPr>
                    <w:t>物</w:t>
                  </w:r>
                </w:p>
              </w:tc>
              <w:tc>
                <w:tcPr>
                  <w:tcW w:w="452"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highlight w:val="none"/>
                      <w:lang w:val="en-US" w:eastAsia="zh-CN"/>
                    </w:rPr>
                    <w:t>HW01</w:t>
                  </w:r>
                </w:p>
              </w:tc>
              <w:tc>
                <w:tcPr>
                  <w:tcW w:w="672"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841-003-01</w:t>
                  </w:r>
                </w:p>
              </w:tc>
              <w:tc>
                <w:tcPr>
                  <w:tcW w:w="463" w:type="pct"/>
                  <w:vAlign w:val="center"/>
                </w:tcPr>
                <w:p>
                  <w:pPr>
                    <w:jc w:val="center"/>
                    <w:rPr>
                      <w:rFonts w:hint="eastAsia" w:ascii="宋体" w:hAnsi="宋体" w:eastAsia="宋体" w:cs="宋体"/>
                      <w:sz w:val="18"/>
                      <w:szCs w:val="18"/>
                      <w:highlight w:val="yellow"/>
                    </w:rPr>
                  </w:pPr>
                  <w:r>
                    <w:rPr>
                      <w:rFonts w:hint="eastAsia" w:ascii="宋体" w:hAnsi="宋体" w:eastAsia="宋体" w:cs="宋体"/>
                      <w:kern w:val="2"/>
                      <w:sz w:val="18"/>
                      <w:szCs w:val="18"/>
                      <w:lang w:val="en-US" w:eastAsia="zh-CN"/>
                    </w:rPr>
                    <w:t>0.1t/a</w:t>
                  </w:r>
                </w:p>
              </w:tc>
              <w:tc>
                <w:tcPr>
                  <w:tcW w:w="486"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手术</w:t>
                  </w:r>
                </w:p>
              </w:tc>
              <w:tc>
                <w:tcPr>
                  <w:tcW w:w="374"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固体</w:t>
                  </w:r>
                </w:p>
              </w:tc>
              <w:tc>
                <w:tcPr>
                  <w:tcW w:w="414" w:type="pct"/>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动物组织、器</w:t>
                  </w:r>
                </w:p>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官、肢体</w:t>
                  </w:r>
                </w:p>
              </w:tc>
              <w:tc>
                <w:tcPr>
                  <w:tcW w:w="366" w:type="pct"/>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动物组织、器</w:t>
                  </w:r>
                </w:p>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官、肢体</w:t>
                  </w:r>
                </w:p>
              </w:tc>
              <w:tc>
                <w:tcPr>
                  <w:tcW w:w="366" w:type="pct"/>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每天</w:t>
                  </w:r>
                </w:p>
              </w:tc>
              <w:tc>
                <w:tcPr>
                  <w:tcW w:w="366" w:type="pct"/>
                  <w:vAlign w:val="center"/>
                </w:tcPr>
                <w:p>
                  <w:pPr>
                    <w:jc w:val="center"/>
                    <w:rPr>
                      <w:rFonts w:hint="eastAsia" w:ascii="宋体" w:hAnsi="宋体" w:eastAsia="宋体" w:cs="宋体"/>
                      <w:sz w:val="18"/>
                      <w:szCs w:val="18"/>
                    </w:rPr>
                  </w:pPr>
                  <w:r>
                    <w:rPr>
                      <w:rFonts w:hint="eastAsia" w:ascii="宋体" w:hAnsi="宋体" w:eastAsia="宋体" w:cs="宋体"/>
                      <w:color w:val="auto"/>
                      <w:sz w:val="18"/>
                      <w:szCs w:val="18"/>
                      <w:highlight w:val="none"/>
                      <w:lang w:val="en-US" w:eastAsia="zh-CN"/>
                    </w:rPr>
                    <w:t>In</w:t>
                  </w:r>
                </w:p>
              </w:tc>
              <w:tc>
                <w:tcPr>
                  <w:tcW w:w="375" w:type="pct"/>
                  <w:vMerge w:val="continue"/>
                  <w:vAlign w:val="center"/>
                </w:tcPr>
                <w:p>
                  <w:pPr>
                    <w:jc w:val="center"/>
                    <w:rPr>
                      <w:rFonts w:hint="eastAsia" w:ascii="宋体" w:hAnsi="宋体" w:eastAsia="宋体" w:cs="宋体"/>
                      <w:color w:val="FF0000"/>
                      <w:sz w:val="18"/>
                      <w:szCs w:val="18"/>
                    </w:rPr>
                  </w:pPr>
                </w:p>
              </w:tc>
            </w:tr>
          </w:tbl>
          <w:p>
            <w:pPr>
              <w:spacing w:line="360" w:lineRule="auto"/>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（3）环境管理要求</w:t>
            </w:r>
          </w:p>
          <w:p>
            <w:pPr>
              <w:spacing w:line="360" w:lineRule="auto"/>
              <w:ind w:firstLine="422" w:firstLineChars="200"/>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①生活垃圾</w:t>
            </w:r>
          </w:p>
          <w:p>
            <w:pPr>
              <w:spacing w:line="360" w:lineRule="auto"/>
              <w:ind w:firstLine="420" w:firstLineChars="200"/>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项目产生的生活垃圾分类收集后存放在垃圾桶中，不与一般工业固废和危险废物混放，固废相互间不影响。生活垃圾平时及时收集，合理分类，垃圾桶盖子紧闭，安排专人清理垃圾桶附近散落的垃圾，避免对周围环境产生二次污染。</w:t>
            </w:r>
          </w:p>
          <w:p>
            <w:pPr>
              <w:spacing w:line="360" w:lineRule="auto"/>
              <w:ind w:left="420" w:leftChars="200"/>
              <w:outlineLvl w:val="1"/>
              <w:rPr>
                <w:rFonts w:hint="default" w:ascii="Times New Roman" w:hAnsi="Times New Roman" w:eastAsia="宋体" w:cs="Times New Roman"/>
                <w:sz w:val="21"/>
                <w:szCs w:val="21"/>
              </w:rPr>
            </w:pPr>
            <w:r>
              <w:rPr>
                <w:rFonts w:hint="default" w:ascii="Times New Roman" w:hAnsi="Times New Roman" w:eastAsia="宋体" w:cs="Times New Roman"/>
                <w:b/>
                <w:sz w:val="21"/>
                <w:szCs w:val="21"/>
                <w:lang w:val="en-US" w:eastAsia="zh-CN"/>
              </w:rPr>
              <w:t>②</w:t>
            </w:r>
            <w:r>
              <w:rPr>
                <w:rFonts w:hint="default" w:ascii="Times New Roman" w:hAnsi="Times New Roman" w:eastAsia="宋体" w:cs="Times New Roman"/>
                <w:b/>
                <w:sz w:val="21"/>
                <w:szCs w:val="21"/>
              </w:rPr>
              <w:t>危险固废</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根据国家颁布的《医疗废物管理条例》（国务院令第380号）、《医疗废物专用包 装物、容器标准和警示标识规定》，医疗废物分类收集、贮存应注意以下技术要点：</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①医疗卫生机构应当及时收集本单位产生的医疗废物，并按照类别分置于防渗漏、防锐器穿透的专用包装物或者密闭的容器内。医疗废物专用包装物、容器，应当有明显 的警示标识和警示说明。</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②医疗卫生机构应当建立医疗废物的暂时贮存设施、设备，不得露天存放医疗废物； 医疗废物暂时贮存的时间不得超过2天。医疗废物的暂时贮存设施、设备，应当远离医疗区、食品加工区和人员活动区以及生活垃圾存放场所，并设置明显的警示标识和防渗漏、防鼠、防蚊蝇、防蟑螂、防盗以及预防儿童接触等安全措施。医疗废物的暂时贮存设施、设备应当定期消毒和清洁。</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③医疗卫生机构应当使用防渗漏、防遗撒的专用运送工具，按照本单位确定的内部 医疗废物运送时间、路线，将医疗废物收集、运送至暂时贮存地点。运送工具使用后应 当在医疗卫生机构内指定的地点及时消毒和清洁。</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④医疗卫生机构应当根据就近集中处置的原则，及时将医疗废物交由医疗废物集中处置单位处置。医疗废物中病原体的培养基、标本和菌种、毒种保存液等高危险废物，在交医疗废物集中处置单位处置前应当就地消毒。</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⑤包装容器最多只能</w:t>
            </w:r>
            <w:r>
              <w:rPr>
                <w:rFonts w:hint="default" w:ascii="Times New Roman" w:hAnsi="Times New Roman" w:eastAsia="宋体" w:cs="Times New Roman"/>
                <w:sz w:val="21"/>
                <w:szCs w:val="21"/>
                <w:lang w:val="en-US" w:eastAsia="zh-CN"/>
              </w:rPr>
              <w:t>存放</w:t>
            </w:r>
            <w:r>
              <w:rPr>
                <w:rFonts w:hint="default" w:ascii="Times New Roman" w:hAnsi="Times New Roman" w:eastAsia="宋体" w:cs="Times New Roman"/>
                <w:sz w:val="21"/>
                <w:szCs w:val="21"/>
              </w:rPr>
              <w:t>2/3体积的医疗废物，其中塑料袋采用鹅颈束捆方法。在 包装容器的2/3体积处应做一个清晰的横线标识。</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⑥各科室、病房产生的少量药物性废物可以混入感染性废物，应单独收集。</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⑦病房或药房储存的批量过期的药品应单独收集，委托有资质单位进行处理。⑧大量的化学性废物应当使用抗化学腐蚀的容器盛装，容器上注明化学物质名称， 如果可能应送往专门的机构处理。不同类型的危险化学物质不能混装</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⑨如果医疗废物分装出现错误，不能采取将错放的医疗废物从一个容器转移到另一个容器或将一个容器放到另一个容器中去，如果不慎将普通生活垃圾与医疗废物混装，那么混在一起的废物应当按医疗废物处理。 </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⑩医疗废物交接是指医院将集中贮存的医疗废物移交给持有许可证的废物运送者，并与运送者在规定格式的《危险废物转移联单》（医疗废物专用）上签字确认的过程，登记内容应当包括医疗废物的来源、种类、重量或者数量、交接时间、处置方法、最终去向以及经办人签名等项目，签字人对其填写内容负责。贮存设施管理人员应该配合废物运送人员的检查，保存联单副本，时间至少为3年。根据企业资料，已在项目区域设计一处</w:t>
            </w:r>
            <w:r>
              <w:rPr>
                <w:rFonts w:hint="default" w:ascii="Times New Roman" w:hAnsi="Times New Roman" w:eastAsia="宋体" w:cs="Times New Roman"/>
                <w:sz w:val="21"/>
                <w:szCs w:val="21"/>
                <w:lang w:val="en-US" w:eastAsia="zh-CN"/>
              </w:rPr>
              <w:t>3m</w:t>
            </w:r>
            <w:r>
              <w:rPr>
                <w:rFonts w:hint="default" w:ascii="Times New Roman" w:hAnsi="Times New Roman" w:eastAsia="宋体" w:cs="Times New Roman"/>
                <w:sz w:val="21"/>
                <w:szCs w:val="21"/>
                <w:vertAlign w:val="superscript"/>
                <w:lang w:val="en-US" w:eastAsia="zh-CN"/>
              </w:rPr>
              <w:t>2</w:t>
            </w:r>
            <w:r>
              <w:rPr>
                <w:rFonts w:hint="default" w:ascii="Times New Roman" w:hAnsi="Times New Roman" w:eastAsia="宋体" w:cs="Times New Roman"/>
                <w:sz w:val="21"/>
                <w:szCs w:val="21"/>
              </w:rPr>
              <w:t>的</w:t>
            </w:r>
            <w:r>
              <w:rPr>
                <w:rFonts w:hint="default" w:ascii="Times New Roman" w:hAnsi="Times New Roman" w:eastAsia="宋体" w:cs="Times New Roman"/>
                <w:sz w:val="21"/>
                <w:szCs w:val="21"/>
                <w:lang w:val="en-US" w:eastAsia="zh-CN"/>
              </w:rPr>
              <w:t>危废暂存间</w:t>
            </w:r>
            <w:r>
              <w:rPr>
                <w:rFonts w:hint="default" w:ascii="Times New Roman" w:hAnsi="Times New Roman" w:eastAsia="宋体" w:cs="Times New Roman"/>
                <w:sz w:val="21"/>
                <w:szCs w:val="21"/>
              </w:rPr>
              <w:t>，并根据医疗废物的类别，将医疗废物分置于符合《医疗废物专用包装袋、容器和警示标志标准》的包装物或者容器内。在项目建成营运后，企业应按照《危险废物转移联单管理办法》（国家环境保护总局令第5号）的相关要求，办理危险固废转移联单，并做好委托处置的台帐。综上所述，本项目固废经处理后，可实现零排放，不会对周围环境产生影响。</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建设项目危险废物贮存场所基本情况见下表。</w:t>
            </w:r>
          </w:p>
          <w:p>
            <w:pPr>
              <w:spacing w:line="360" w:lineRule="auto"/>
              <w:ind w:right="195" w:rightChars="93" w:firstLine="422" w:firstLineChars="20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表4-</w:t>
            </w:r>
            <w:r>
              <w:rPr>
                <w:rFonts w:hint="default" w:ascii="Times New Roman" w:hAnsi="Times New Roman" w:eastAsia="宋体" w:cs="Times New Roman"/>
                <w:b/>
                <w:sz w:val="21"/>
                <w:szCs w:val="21"/>
                <w:lang w:val="en-US" w:eastAsia="zh-CN"/>
              </w:rPr>
              <w:t>12</w:t>
            </w:r>
            <w:r>
              <w:rPr>
                <w:rFonts w:hint="default" w:ascii="Times New Roman" w:hAnsi="Times New Roman" w:eastAsia="宋体" w:cs="Times New Roman"/>
                <w:b/>
                <w:sz w:val="21"/>
                <w:szCs w:val="21"/>
              </w:rPr>
              <w:t>建设项目危险废物贮存场所（设施）基本情况表</w:t>
            </w:r>
          </w:p>
          <w:tbl>
            <w:tblPr>
              <w:tblStyle w:val="36"/>
              <w:tblW w:w="4996"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20"/>
              <w:gridCol w:w="872"/>
              <w:gridCol w:w="1106"/>
              <w:gridCol w:w="936"/>
              <w:gridCol w:w="904"/>
              <w:gridCol w:w="1326"/>
              <w:gridCol w:w="746"/>
              <w:gridCol w:w="566"/>
              <w:gridCol w:w="462"/>
              <w:gridCol w:w="526"/>
              <w:gridCol w:w="1001"/>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37" w:type="pct"/>
                  <w:vAlign w:val="center"/>
                </w:tcPr>
                <w:p>
                  <w:pPr>
                    <w:spacing w:line="260" w:lineRule="exact"/>
                    <w:jc w:val="center"/>
                    <w:rPr>
                      <w:rFonts w:hint="eastAsia" w:ascii="宋体" w:hAnsi="宋体" w:eastAsia="宋体" w:cs="宋体"/>
                      <w:b/>
                      <w:bCs/>
                      <w:sz w:val="18"/>
                      <w:szCs w:val="18"/>
                    </w:rPr>
                  </w:pPr>
                  <w:r>
                    <w:rPr>
                      <w:rFonts w:hint="eastAsia" w:ascii="宋体" w:hAnsi="宋体" w:eastAsia="宋体" w:cs="宋体"/>
                      <w:b/>
                      <w:bCs/>
                      <w:sz w:val="18"/>
                      <w:szCs w:val="18"/>
                    </w:rPr>
                    <w:t>序号</w:t>
                  </w:r>
                </w:p>
              </w:tc>
              <w:tc>
                <w:tcPr>
                  <w:tcW w:w="491" w:type="pct"/>
                  <w:vAlign w:val="center"/>
                </w:tcPr>
                <w:p>
                  <w:pPr>
                    <w:spacing w:line="260" w:lineRule="exact"/>
                    <w:jc w:val="center"/>
                    <w:rPr>
                      <w:rFonts w:hint="eastAsia" w:ascii="宋体" w:hAnsi="宋体" w:eastAsia="宋体" w:cs="宋体"/>
                      <w:b/>
                      <w:bCs/>
                      <w:sz w:val="18"/>
                      <w:szCs w:val="18"/>
                    </w:rPr>
                  </w:pPr>
                  <w:r>
                    <w:rPr>
                      <w:rFonts w:hint="eastAsia" w:ascii="宋体" w:hAnsi="宋体" w:eastAsia="宋体" w:cs="宋体"/>
                      <w:b/>
                      <w:bCs/>
                      <w:sz w:val="18"/>
                      <w:szCs w:val="18"/>
                    </w:rPr>
                    <w:t>贮存场所（设施）名称</w:t>
                  </w:r>
                </w:p>
              </w:tc>
              <w:tc>
                <w:tcPr>
                  <w:tcW w:w="623" w:type="pct"/>
                  <w:vAlign w:val="center"/>
                </w:tcPr>
                <w:p>
                  <w:pPr>
                    <w:spacing w:line="260" w:lineRule="exact"/>
                    <w:jc w:val="center"/>
                    <w:rPr>
                      <w:rFonts w:hint="eastAsia" w:ascii="宋体" w:hAnsi="宋体" w:eastAsia="宋体" w:cs="宋体"/>
                      <w:b/>
                      <w:bCs/>
                      <w:sz w:val="18"/>
                      <w:szCs w:val="18"/>
                    </w:rPr>
                  </w:pPr>
                  <w:r>
                    <w:rPr>
                      <w:rFonts w:hint="eastAsia" w:ascii="宋体" w:hAnsi="宋体" w:eastAsia="宋体" w:cs="宋体"/>
                      <w:b/>
                      <w:bCs/>
                      <w:sz w:val="18"/>
                      <w:szCs w:val="18"/>
                    </w:rPr>
                    <w:t>危险废物名称</w:t>
                  </w:r>
                </w:p>
              </w:tc>
              <w:tc>
                <w:tcPr>
                  <w:tcW w:w="527" w:type="pct"/>
                  <w:vAlign w:val="center"/>
                </w:tcPr>
                <w:p>
                  <w:pPr>
                    <w:spacing w:line="260" w:lineRule="exact"/>
                    <w:jc w:val="center"/>
                    <w:rPr>
                      <w:rFonts w:hint="eastAsia" w:ascii="宋体" w:hAnsi="宋体" w:eastAsia="宋体" w:cs="宋体"/>
                      <w:b/>
                      <w:bCs/>
                      <w:sz w:val="18"/>
                      <w:szCs w:val="18"/>
                    </w:rPr>
                  </w:pPr>
                  <w:r>
                    <w:rPr>
                      <w:rFonts w:hint="eastAsia" w:ascii="宋体" w:hAnsi="宋体" w:eastAsia="宋体" w:cs="宋体"/>
                      <w:b/>
                      <w:bCs/>
                      <w:sz w:val="18"/>
                      <w:szCs w:val="18"/>
                    </w:rPr>
                    <w:t>产生量t/a</w:t>
                  </w:r>
                </w:p>
              </w:tc>
              <w:tc>
                <w:tcPr>
                  <w:tcW w:w="509" w:type="pct"/>
                  <w:vAlign w:val="center"/>
                </w:tcPr>
                <w:p>
                  <w:pPr>
                    <w:spacing w:line="260" w:lineRule="exact"/>
                    <w:jc w:val="center"/>
                    <w:rPr>
                      <w:rFonts w:hint="eastAsia" w:ascii="宋体" w:hAnsi="宋体" w:eastAsia="宋体" w:cs="宋体"/>
                      <w:b/>
                      <w:bCs/>
                      <w:sz w:val="18"/>
                      <w:szCs w:val="18"/>
                    </w:rPr>
                  </w:pPr>
                  <w:r>
                    <w:rPr>
                      <w:rFonts w:hint="eastAsia" w:ascii="宋体" w:hAnsi="宋体" w:eastAsia="宋体" w:cs="宋体"/>
                      <w:b/>
                      <w:bCs/>
                      <w:sz w:val="18"/>
                      <w:szCs w:val="18"/>
                    </w:rPr>
                    <w:t>危险废物类别</w:t>
                  </w:r>
                </w:p>
              </w:tc>
              <w:tc>
                <w:tcPr>
                  <w:tcW w:w="747" w:type="pct"/>
                  <w:vAlign w:val="center"/>
                </w:tcPr>
                <w:p>
                  <w:pPr>
                    <w:spacing w:line="260" w:lineRule="exact"/>
                    <w:jc w:val="center"/>
                    <w:rPr>
                      <w:rFonts w:hint="eastAsia" w:ascii="宋体" w:hAnsi="宋体" w:eastAsia="宋体" w:cs="宋体"/>
                      <w:b/>
                      <w:bCs/>
                      <w:sz w:val="18"/>
                      <w:szCs w:val="18"/>
                    </w:rPr>
                  </w:pPr>
                  <w:r>
                    <w:rPr>
                      <w:rFonts w:hint="eastAsia" w:ascii="宋体" w:hAnsi="宋体" w:eastAsia="宋体" w:cs="宋体"/>
                      <w:b/>
                      <w:bCs/>
                      <w:sz w:val="18"/>
                      <w:szCs w:val="18"/>
                    </w:rPr>
                    <w:t>危险废物代码</w:t>
                  </w:r>
                </w:p>
              </w:tc>
              <w:tc>
                <w:tcPr>
                  <w:tcW w:w="420" w:type="pct"/>
                  <w:vAlign w:val="center"/>
                </w:tcPr>
                <w:p>
                  <w:pPr>
                    <w:spacing w:line="260" w:lineRule="exact"/>
                    <w:jc w:val="center"/>
                    <w:rPr>
                      <w:rFonts w:hint="eastAsia" w:ascii="宋体" w:hAnsi="宋体" w:eastAsia="宋体" w:cs="宋体"/>
                      <w:b/>
                      <w:bCs/>
                      <w:sz w:val="18"/>
                      <w:szCs w:val="18"/>
                    </w:rPr>
                  </w:pPr>
                  <w:r>
                    <w:rPr>
                      <w:rFonts w:hint="eastAsia" w:ascii="宋体" w:hAnsi="宋体" w:eastAsia="宋体" w:cs="宋体"/>
                      <w:b/>
                      <w:bCs/>
                      <w:sz w:val="18"/>
                      <w:szCs w:val="18"/>
                    </w:rPr>
                    <w:t>位置</w:t>
                  </w:r>
                </w:p>
              </w:tc>
              <w:tc>
                <w:tcPr>
                  <w:tcW w:w="319" w:type="pct"/>
                  <w:vAlign w:val="center"/>
                </w:tcPr>
                <w:p>
                  <w:pPr>
                    <w:spacing w:line="260" w:lineRule="exact"/>
                    <w:jc w:val="center"/>
                    <w:rPr>
                      <w:rFonts w:hint="eastAsia" w:ascii="宋体" w:hAnsi="宋体" w:eastAsia="宋体" w:cs="宋体"/>
                      <w:b/>
                      <w:bCs/>
                      <w:sz w:val="18"/>
                      <w:szCs w:val="18"/>
                    </w:rPr>
                  </w:pPr>
                  <w:r>
                    <w:rPr>
                      <w:rFonts w:hint="eastAsia" w:ascii="宋体" w:hAnsi="宋体" w:eastAsia="宋体" w:cs="宋体"/>
                      <w:b/>
                      <w:bCs/>
                      <w:sz w:val="18"/>
                      <w:szCs w:val="18"/>
                    </w:rPr>
                    <w:t>占地面积</w:t>
                  </w:r>
                </w:p>
              </w:tc>
              <w:tc>
                <w:tcPr>
                  <w:tcW w:w="260" w:type="pct"/>
                  <w:vAlign w:val="center"/>
                </w:tcPr>
                <w:p>
                  <w:pPr>
                    <w:spacing w:line="260" w:lineRule="exact"/>
                    <w:jc w:val="center"/>
                    <w:rPr>
                      <w:rFonts w:hint="eastAsia" w:ascii="宋体" w:hAnsi="宋体" w:eastAsia="宋体" w:cs="宋体"/>
                      <w:b/>
                      <w:bCs/>
                      <w:sz w:val="18"/>
                      <w:szCs w:val="18"/>
                    </w:rPr>
                  </w:pPr>
                  <w:r>
                    <w:rPr>
                      <w:rFonts w:hint="eastAsia" w:ascii="宋体" w:hAnsi="宋体" w:eastAsia="宋体" w:cs="宋体"/>
                      <w:b/>
                      <w:bCs/>
                      <w:sz w:val="18"/>
                      <w:szCs w:val="18"/>
                    </w:rPr>
                    <w:t>贮存方式</w:t>
                  </w:r>
                </w:p>
              </w:tc>
              <w:tc>
                <w:tcPr>
                  <w:tcW w:w="296" w:type="pct"/>
                  <w:vAlign w:val="center"/>
                </w:tcPr>
                <w:p>
                  <w:pPr>
                    <w:spacing w:line="260" w:lineRule="exact"/>
                    <w:jc w:val="center"/>
                    <w:rPr>
                      <w:rFonts w:hint="eastAsia" w:ascii="宋体" w:hAnsi="宋体" w:eastAsia="宋体" w:cs="宋体"/>
                      <w:b/>
                      <w:bCs/>
                      <w:sz w:val="18"/>
                      <w:szCs w:val="18"/>
                    </w:rPr>
                  </w:pPr>
                  <w:r>
                    <w:rPr>
                      <w:rFonts w:hint="eastAsia" w:ascii="宋体" w:hAnsi="宋体" w:eastAsia="宋体" w:cs="宋体"/>
                      <w:b/>
                      <w:bCs/>
                      <w:sz w:val="18"/>
                      <w:szCs w:val="18"/>
                    </w:rPr>
                    <w:t>贮存</w:t>
                  </w:r>
                </w:p>
                <w:p>
                  <w:pPr>
                    <w:spacing w:line="260" w:lineRule="exact"/>
                    <w:jc w:val="center"/>
                    <w:rPr>
                      <w:rFonts w:hint="eastAsia" w:ascii="宋体" w:hAnsi="宋体" w:eastAsia="宋体" w:cs="宋体"/>
                      <w:b/>
                      <w:bCs/>
                      <w:sz w:val="18"/>
                      <w:szCs w:val="18"/>
                    </w:rPr>
                  </w:pPr>
                  <w:r>
                    <w:rPr>
                      <w:rFonts w:hint="eastAsia" w:ascii="宋体" w:hAnsi="宋体" w:eastAsia="宋体" w:cs="宋体"/>
                      <w:b/>
                      <w:bCs/>
                      <w:sz w:val="18"/>
                      <w:szCs w:val="18"/>
                    </w:rPr>
                    <w:t>能力</w:t>
                  </w:r>
                </w:p>
              </w:tc>
              <w:tc>
                <w:tcPr>
                  <w:tcW w:w="564" w:type="pct"/>
                  <w:vAlign w:val="center"/>
                </w:tcPr>
                <w:p>
                  <w:pPr>
                    <w:spacing w:line="260" w:lineRule="exact"/>
                    <w:jc w:val="center"/>
                    <w:rPr>
                      <w:rFonts w:hint="eastAsia" w:ascii="宋体" w:hAnsi="宋体" w:eastAsia="宋体" w:cs="宋体"/>
                      <w:b/>
                      <w:bCs/>
                      <w:sz w:val="18"/>
                      <w:szCs w:val="18"/>
                    </w:rPr>
                  </w:pPr>
                  <w:r>
                    <w:rPr>
                      <w:rFonts w:hint="eastAsia" w:ascii="宋体" w:hAnsi="宋体" w:eastAsia="宋体" w:cs="宋体"/>
                      <w:b/>
                      <w:bCs/>
                      <w:sz w:val="18"/>
                      <w:szCs w:val="18"/>
                    </w:rPr>
                    <w:t>贮存</w:t>
                  </w:r>
                </w:p>
                <w:p>
                  <w:pPr>
                    <w:spacing w:line="260" w:lineRule="exact"/>
                    <w:jc w:val="center"/>
                    <w:rPr>
                      <w:rFonts w:hint="eastAsia" w:ascii="宋体" w:hAnsi="宋体" w:eastAsia="宋体" w:cs="宋体"/>
                      <w:b/>
                      <w:bCs/>
                      <w:sz w:val="18"/>
                      <w:szCs w:val="18"/>
                    </w:rPr>
                  </w:pPr>
                  <w:r>
                    <w:rPr>
                      <w:rFonts w:hint="eastAsia" w:ascii="宋体" w:hAnsi="宋体" w:eastAsia="宋体" w:cs="宋体"/>
                      <w:b/>
                      <w:bCs/>
                      <w:sz w:val="18"/>
                      <w:szCs w:val="18"/>
                    </w:rPr>
                    <w:t>周期</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37" w:type="pct"/>
                  <w:vMerge w:val="restart"/>
                  <w:vAlign w:val="center"/>
                </w:tcPr>
                <w:p>
                  <w:pPr>
                    <w:spacing w:line="260" w:lineRule="exact"/>
                    <w:jc w:val="center"/>
                    <w:rPr>
                      <w:rFonts w:hint="eastAsia" w:ascii="宋体" w:hAnsi="宋体" w:eastAsia="宋体" w:cs="宋体"/>
                      <w:sz w:val="18"/>
                      <w:szCs w:val="18"/>
                    </w:rPr>
                  </w:pPr>
                  <w:r>
                    <w:rPr>
                      <w:rFonts w:hint="eastAsia" w:ascii="宋体" w:hAnsi="宋体" w:eastAsia="宋体" w:cs="宋体"/>
                      <w:sz w:val="18"/>
                      <w:szCs w:val="18"/>
                    </w:rPr>
                    <w:t>1</w:t>
                  </w:r>
                </w:p>
              </w:tc>
              <w:tc>
                <w:tcPr>
                  <w:tcW w:w="491" w:type="pct"/>
                  <w:vMerge w:val="restart"/>
                  <w:vAlign w:val="center"/>
                </w:tcPr>
                <w:p>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医疗废物存储间</w:t>
                  </w:r>
                </w:p>
              </w:tc>
              <w:tc>
                <w:tcPr>
                  <w:tcW w:w="623" w:type="pct"/>
                  <w:vAlign w:val="center"/>
                </w:tcPr>
                <w:p>
                  <w:pPr>
                    <w:jc w:val="center"/>
                    <w:rPr>
                      <w:rFonts w:hint="eastAsia" w:ascii="宋体" w:hAnsi="宋体" w:eastAsia="宋体" w:cs="宋体"/>
                      <w:kern w:val="2"/>
                      <w:sz w:val="18"/>
                      <w:szCs w:val="18"/>
                      <w:lang w:val="en-US" w:eastAsia="zh-CN" w:bidi="ar-SA"/>
                    </w:rPr>
                  </w:pPr>
                  <w:r>
                    <w:rPr>
                      <w:rFonts w:hint="eastAsia" w:ascii="宋体" w:hAnsi="宋体" w:eastAsia="宋体" w:cs="宋体"/>
                      <w:color w:val="auto"/>
                      <w:sz w:val="18"/>
                      <w:szCs w:val="18"/>
                    </w:rPr>
                    <w:t>感染性废物</w:t>
                  </w:r>
                </w:p>
              </w:tc>
              <w:tc>
                <w:tcPr>
                  <w:tcW w:w="527" w:type="pct"/>
                  <w:vAlign w:val="center"/>
                </w:tcPr>
                <w:p>
                  <w:pPr>
                    <w:jc w:val="center"/>
                    <w:rPr>
                      <w:rFonts w:hint="eastAsia" w:ascii="宋体" w:hAnsi="宋体" w:eastAsia="宋体" w:cs="宋体"/>
                      <w:sz w:val="18"/>
                      <w:szCs w:val="18"/>
                    </w:rPr>
                  </w:pPr>
                  <w:r>
                    <w:rPr>
                      <w:rFonts w:hint="eastAsia" w:ascii="宋体" w:hAnsi="宋体" w:eastAsia="宋体" w:cs="宋体"/>
                      <w:kern w:val="2"/>
                      <w:sz w:val="18"/>
                      <w:szCs w:val="18"/>
                      <w:lang w:val="en-US" w:eastAsia="zh-CN"/>
                    </w:rPr>
                    <w:t>0.1t/a</w:t>
                  </w:r>
                </w:p>
              </w:tc>
              <w:tc>
                <w:tcPr>
                  <w:tcW w:w="509" w:type="pct"/>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lang w:val="en-US" w:eastAsia="zh-CN"/>
                    </w:rPr>
                    <w:t>HW01</w:t>
                  </w:r>
                </w:p>
              </w:tc>
              <w:tc>
                <w:tcPr>
                  <w:tcW w:w="747"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841-001-01</w:t>
                  </w:r>
                </w:p>
              </w:tc>
              <w:tc>
                <w:tcPr>
                  <w:tcW w:w="420" w:type="pct"/>
                  <w:vAlign w:val="center"/>
                </w:tcPr>
                <w:p>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一楼</w:t>
                  </w:r>
                </w:p>
              </w:tc>
              <w:tc>
                <w:tcPr>
                  <w:tcW w:w="319" w:type="pct"/>
                  <w:vMerge w:val="restart"/>
                  <w:vAlign w:val="center"/>
                </w:tcPr>
                <w:p>
                  <w:pPr>
                    <w:spacing w:line="260" w:lineRule="exact"/>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3m</w:t>
                  </w:r>
                  <w:r>
                    <w:rPr>
                      <w:rFonts w:hint="eastAsia" w:ascii="宋体" w:hAnsi="宋体" w:eastAsia="宋体" w:cs="宋体"/>
                      <w:color w:val="auto"/>
                      <w:sz w:val="18"/>
                      <w:szCs w:val="18"/>
                      <w:vertAlign w:val="superscript"/>
                      <w:lang w:val="en-US" w:eastAsia="zh-CN"/>
                    </w:rPr>
                    <w:t>2</w:t>
                  </w:r>
                </w:p>
              </w:tc>
              <w:tc>
                <w:tcPr>
                  <w:tcW w:w="260" w:type="pct"/>
                  <w:vMerge w:val="restart"/>
                  <w:vAlign w:val="center"/>
                </w:tcPr>
                <w:p>
                  <w:pPr>
                    <w:spacing w:line="260" w:lineRule="exact"/>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医疗废物存储间</w:t>
                  </w:r>
                </w:p>
              </w:tc>
              <w:tc>
                <w:tcPr>
                  <w:tcW w:w="296" w:type="pct"/>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1t</w:t>
                  </w:r>
                </w:p>
              </w:tc>
              <w:tc>
                <w:tcPr>
                  <w:tcW w:w="564" w:type="pct"/>
                  <w:vAlign w:val="center"/>
                </w:tcPr>
                <w:p>
                  <w:pPr>
                    <w:spacing w:line="260" w:lineRule="exact"/>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2天</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37" w:type="pct"/>
                  <w:vMerge w:val="continue"/>
                  <w:vAlign w:val="center"/>
                </w:tcPr>
                <w:p>
                  <w:pPr>
                    <w:spacing w:line="260" w:lineRule="exact"/>
                    <w:jc w:val="center"/>
                    <w:rPr>
                      <w:rFonts w:hint="eastAsia" w:ascii="宋体" w:hAnsi="宋体" w:eastAsia="宋体" w:cs="宋体"/>
                      <w:sz w:val="18"/>
                      <w:szCs w:val="18"/>
                    </w:rPr>
                  </w:pPr>
                </w:p>
              </w:tc>
              <w:tc>
                <w:tcPr>
                  <w:tcW w:w="491" w:type="pct"/>
                  <w:vMerge w:val="continue"/>
                  <w:vAlign w:val="center"/>
                </w:tcPr>
                <w:p>
                  <w:pPr>
                    <w:spacing w:line="260" w:lineRule="exact"/>
                    <w:jc w:val="center"/>
                    <w:rPr>
                      <w:rFonts w:hint="eastAsia" w:ascii="宋体" w:hAnsi="宋体" w:eastAsia="宋体" w:cs="宋体"/>
                      <w:sz w:val="18"/>
                      <w:szCs w:val="18"/>
                    </w:rPr>
                  </w:pPr>
                </w:p>
              </w:tc>
              <w:tc>
                <w:tcPr>
                  <w:tcW w:w="623" w:type="pct"/>
                  <w:vAlign w:val="center"/>
                </w:tcPr>
                <w:p>
                  <w:pPr>
                    <w:jc w:val="center"/>
                    <w:rPr>
                      <w:rFonts w:hint="eastAsia" w:ascii="宋体" w:hAnsi="宋体" w:eastAsia="宋体" w:cs="宋体"/>
                      <w:color w:val="auto"/>
                      <w:sz w:val="18"/>
                      <w:szCs w:val="18"/>
                    </w:rPr>
                  </w:pPr>
                  <w:r>
                    <w:rPr>
                      <w:rFonts w:hint="eastAsia" w:ascii="宋体" w:hAnsi="宋体" w:eastAsia="宋体" w:cs="宋体"/>
                      <w:color w:val="auto"/>
                      <w:sz w:val="18"/>
                      <w:szCs w:val="18"/>
                    </w:rPr>
                    <w:t>病理性废</w:t>
                  </w:r>
                </w:p>
                <w:p>
                  <w:pPr>
                    <w:jc w:val="center"/>
                    <w:rPr>
                      <w:rFonts w:hint="eastAsia" w:ascii="宋体" w:hAnsi="宋体" w:eastAsia="宋体" w:cs="宋体"/>
                      <w:kern w:val="2"/>
                      <w:sz w:val="18"/>
                      <w:szCs w:val="18"/>
                      <w:lang w:val="en-US" w:eastAsia="zh-CN" w:bidi="ar-SA"/>
                    </w:rPr>
                  </w:pPr>
                  <w:r>
                    <w:rPr>
                      <w:rFonts w:hint="eastAsia" w:ascii="宋体" w:hAnsi="宋体" w:eastAsia="宋体" w:cs="宋体"/>
                      <w:color w:val="auto"/>
                      <w:sz w:val="18"/>
                      <w:szCs w:val="18"/>
                    </w:rPr>
                    <w:t>物</w:t>
                  </w:r>
                </w:p>
              </w:tc>
              <w:tc>
                <w:tcPr>
                  <w:tcW w:w="527" w:type="pct"/>
                  <w:vAlign w:val="center"/>
                </w:tcPr>
                <w:p>
                  <w:pPr>
                    <w:jc w:val="center"/>
                    <w:rPr>
                      <w:rFonts w:hint="eastAsia" w:ascii="宋体" w:hAnsi="宋体" w:eastAsia="宋体" w:cs="宋体"/>
                      <w:sz w:val="18"/>
                      <w:szCs w:val="18"/>
                      <w:lang w:eastAsia="zh-CN"/>
                    </w:rPr>
                  </w:pPr>
                  <w:r>
                    <w:rPr>
                      <w:rFonts w:hint="eastAsia" w:ascii="宋体" w:hAnsi="宋体" w:eastAsia="宋体" w:cs="宋体"/>
                      <w:kern w:val="2"/>
                      <w:sz w:val="18"/>
                      <w:szCs w:val="18"/>
                      <w:lang w:val="en-US" w:eastAsia="zh-CN"/>
                    </w:rPr>
                    <w:t>0.1t/a</w:t>
                  </w:r>
                </w:p>
              </w:tc>
              <w:tc>
                <w:tcPr>
                  <w:tcW w:w="509"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highlight w:val="none"/>
                      <w:lang w:val="en-US" w:eastAsia="zh-CN"/>
                    </w:rPr>
                    <w:t>HW01</w:t>
                  </w:r>
                </w:p>
              </w:tc>
              <w:tc>
                <w:tcPr>
                  <w:tcW w:w="747" w:type="pct"/>
                  <w:vAlign w:val="center"/>
                </w:tcPr>
                <w:p>
                  <w:pPr>
                    <w:jc w:val="center"/>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sz w:val="18"/>
                      <w:szCs w:val="18"/>
                    </w:rPr>
                    <w:t>841-003-01</w:t>
                  </w:r>
                </w:p>
              </w:tc>
              <w:tc>
                <w:tcPr>
                  <w:tcW w:w="420" w:type="pct"/>
                  <w:vAlign w:val="center"/>
                </w:tcPr>
                <w:p>
                  <w:pPr>
                    <w:spacing w:line="260" w:lineRule="exact"/>
                    <w:jc w:val="center"/>
                    <w:rPr>
                      <w:rFonts w:hint="eastAsia" w:ascii="宋体" w:hAnsi="宋体" w:eastAsia="宋体" w:cs="宋体"/>
                      <w:color w:val="FF0000"/>
                      <w:sz w:val="18"/>
                      <w:szCs w:val="18"/>
                    </w:rPr>
                  </w:pPr>
                  <w:r>
                    <w:rPr>
                      <w:rFonts w:hint="eastAsia" w:ascii="宋体" w:hAnsi="宋体" w:eastAsia="宋体" w:cs="宋体"/>
                      <w:sz w:val="18"/>
                      <w:szCs w:val="18"/>
                      <w:lang w:val="en-US" w:eastAsia="zh-CN"/>
                    </w:rPr>
                    <w:t>一楼</w:t>
                  </w:r>
                </w:p>
              </w:tc>
              <w:tc>
                <w:tcPr>
                  <w:tcW w:w="319" w:type="pct"/>
                  <w:vMerge w:val="continue"/>
                  <w:vAlign w:val="center"/>
                </w:tcPr>
                <w:p>
                  <w:pPr>
                    <w:spacing w:line="260" w:lineRule="exact"/>
                    <w:jc w:val="center"/>
                    <w:rPr>
                      <w:rFonts w:hint="eastAsia" w:ascii="宋体" w:hAnsi="宋体" w:eastAsia="宋体" w:cs="宋体"/>
                      <w:color w:val="auto"/>
                      <w:sz w:val="18"/>
                      <w:szCs w:val="18"/>
                    </w:rPr>
                  </w:pPr>
                </w:p>
              </w:tc>
              <w:tc>
                <w:tcPr>
                  <w:tcW w:w="260" w:type="pct"/>
                  <w:vMerge w:val="continue"/>
                  <w:vAlign w:val="center"/>
                </w:tcPr>
                <w:p>
                  <w:pPr>
                    <w:spacing w:line="260" w:lineRule="exact"/>
                    <w:jc w:val="center"/>
                    <w:rPr>
                      <w:rFonts w:hint="eastAsia" w:ascii="宋体" w:hAnsi="宋体" w:eastAsia="宋体" w:cs="宋体"/>
                      <w:color w:val="FF0000"/>
                      <w:sz w:val="18"/>
                      <w:szCs w:val="18"/>
                    </w:rPr>
                  </w:pPr>
                </w:p>
              </w:tc>
              <w:tc>
                <w:tcPr>
                  <w:tcW w:w="296" w:type="pct"/>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1t</w:t>
                  </w:r>
                </w:p>
              </w:tc>
              <w:tc>
                <w:tcPr>
                  <w:tcW w:w="564" w:type="pct"/>
                  <w:vAlign w:val="center"/>
                </w:tcPr>
                <w:p>
                  <w:pPr>
                    <w:spacing w:line="260" w:lineRule="exact"/>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2天</w:t>
                  </w:r>
                </w:p>
              </w:tc>
            </w:tr>
          </w:tbl>
          <w:p>
            <w:pPr>
              <w:spacing w:line="360" w:lineRule="auto"/>
              <w:ind w:firstLine="420" w:firstLineChars="200"/>
              <w:rPr>
                <w:rFonts w:hint="default" w:ascii="Times New Roman" w:hAnsi="Times New Roman" w:cs="Times New Roman"/>
                <w:b/>
                <w:bCs/>
                <w:sz w:val="21"/>
                <w:szCs w:val="21"/>
              </w:rPr>
            </w:pPr>
            <w:r>
              <w:rPr>
                <w:rFonts w:hint="default" w:ascii="Times New Roman" w:hAnsi="Times New Roman" w:cs="Times New Roman"/>
                <w:sz w:val="21"/>
                <w:szCs w:val="21"/>
              </w:rPr>
              <w:t>通过该系列措施后对危险废物进行有效贮存是可行的。</w:t>
            </w:r>
          </w:p>
          <w:p>
            <w:pPr>
              <w:spacing w:line="360" w:lineRule="auto"/>
              <w:jc w:val="center"/>
              <w:outlineLvl w:val="1"/>
              <w:rPr>
                <w:rFonts w:hint="default" w:ascii="Times New Roman" w:hAnsi="Times New Roman" w:cs="Times New Roman"/>
                <w:b/>
                <w:bCs/>
                <w:sz w:val="21"/>
                <w:szCs w:val="21"/>
              </w:rPr>
            </w:pPr>
            <w:r>
              <w:rPr>
                <w:rFonts w:hint="default" w:ascii="Times New Roman" w:hAnsi="Times New Roman" w:cs="Times New Roman"/>
                <w:b/>
                <w:bCs/>
                <w:sz w:val="21"/>
                <w:szCs w:val="21"/>
              </w:rPr>
              <w:t>表4-</w:t>
            </w:r>
            <w:r>
              <w:rPr>
                <w:rFonts w:hint="default" w:ascii="Times New Roman" w:hAnsi="Times New Roman" w:cs="Times New Roman"/>
                <w:b/>
                <w:bCs/>
                <w:sz w:val="21"/>
                <w:szCs w:val="21"/>
                <w:lang w:val="en-US" w:eastAsia="zh-CN"/>
              </w:rPr>
              <w:t>13</w:t>
            </w:r>
            <w:r>
              <w:rPr>
                <w:rFonts w:hint="default" w:ascii="Times New Roman" w:hAnsi="Times New Roman" w:cs="Times New Roman"/>
                <w:b/>
                <w:bCs/>
                <w:sz w:val="21"/>
                <w:szCs w:val="21"/>
              </w:rPr>
              <w:t>危废贮存设施污染防治</w:t>
            </w:r>
          </w:p>
          <w:tbl>
            <w:tblPr>
              <w:tblStyle w:val="3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3415"/>
              <w:gridCol w:w="4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471" w:type="pct"/>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类别</w:t>
                  </w:r>
                </w:p>
              </w:tc>
              <w:tc>
                <w:tcPr>
                  <w:tcW w:w="1927" w:type="pct"/>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具体建设要求</w:t>
                  </w:r>
                </w:p>
              </w:tc>
              <w:tc>
                <w:tcPr>
                  <w:tcW w:w="2601" w:type="pct"/>
                  <w:vAlign w:val="center"/>
                </w:tcPr>
                <w:p>
                  <w:pPr>
                    <w:jc w:val="center"/>
                    <w:rPr>
                      <w:rFonts w:hint="eastAsia" w:ascii="宋体" w:hAnsi="宋体" w:eastAsia="宋体" w:cs="宋体"/>
                      <w:b/>
                      <w:bCs/>
                      <w:sz w:val="18"/>
                      <w:szCs w:val="18"/>
                    </w:rPr>
                  </w:pPr>
                  <w:r>
                    <w:rPr>
                      <w:rFonts w:hint="eastAsia" w:ascii="宋体" w:hAnsi="宋体" w:eastAsia="宋体" w:cs="宋体"/>
                      <w:b/>
                      <w:bCs/>
                      <w:sz w:val="18"/>
                      <w:szCs w:val="18"/>
                    </w:rPr>
                    <w:t>本项目采取污染防治措施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471" w:type="pct"/>
                  <w:vMerge w:val="restart"/>
                  <w:vAlign w:val="center"/>
                </w:tcPr>
                <w:p>
                  <w:pPr>
                    <w:jc w:val="center"/>
                    <w:rPr>
                      <w:rFonts w:hint="eastAsia" w:ascii="宋体" w:hAnsi="宋体" w:eastAsia="宋体" w:cs="宋体"/>
                      <w:sz w:val="18"/>
                      <w:szCs w:val="18"/>
                    </w:rPr>
                  </w:pPr>
                  <w:r>
                    <w:rPr>
                      <w:rFonts w:hint="eastAsia" w:ascii="宋体" w:hAnsi="宋体" w:eastAsia="宋体" w:cs="宋体"/>
                      <w:sz w:val="18"/>
                      <w:szCs w:val="18"/>
                    </w:rPr>
                    <w:t>危险废物贮存场所</w:t>
                  </w:r>
                </w:p>
              </w:tc>
              <w:tc>
                <w:tcPr>
                  <w:tcW w:w="1927" w:type="pct"/>
                  <w:vAlign w:val="center"/>
                </w:tcPr>
                <w:p>
                  <w:pPr>
                    <w:jc w:val="left"/>
                    <w:rPr>
                      <w:rFonts w:hint="eastAsia" w:ascii="宋体" w:hAnsi="宋体" w:eastAsia="宋体" w:cs="宋体"/>
                      <w:sz w:val="18"/>
                      <w:szCs w:val="18"/>
                    </w:rPr>
                  </w:pPr>
                  <w:r>
                    <w:rPr>
                      <w:rFonts w:hint="eastAsia" w:ascii="宋体" w:hAnsi="宋体" w:eastAsia="宋体" w:cs="宋体"/>
                      <w:sz w:val="18"/>
                      <w:szCs w:val="18"/>
                    </w:rPr>
                    <w:t>1、基础必须防渗，并且满足防渗要求。</w:t>
                  </w:r>
                </w:p>
              </w:tc>
              <w:tc>
                <w:tcPr>
                  <w:tcW w:w="2601" w:type="pct"/>
                  <w:vAlign w:val="center"/>
                </w:tcPr>
                <w:p>
                  <w:pPr>
                    <w:jc w:val="left"/>
                    <w:rPr>
                      <w:rFonts w:hint="eastAsia" w:ascii="宋体" w:hAnsi="宋体" w:eastAsia="宋体" w:cs="宋体"/>
                      <w:sz w:val="18"/>
                      <w:szCs w:val="18"/>
                    </w:rPr>
                  </w:pPr>
                  <w:r>
                    <w:rPr>
                      <w:rFonts w:hint="eastAsia" w:ascii="宋体" w:hAnsi="宋体" w:eastAsia="宋体" w:cs="宋体"/>
                      <w:sz w:val="18"/>
                      <w:szCs w:val="18"/>
                    </w:rPr>
                    <w:t>企业</w:t>
                  </w:r>
                  <w:r>
                    <w:rPr>
                      <w:rFonts w:hint="eastAsia" w:ascii="宋体" w:hAnsi="宋体" w:eastAsia="宋体" w:cs="宋体"/>
                      <w:sz w:val="18"/>
                      <w:szCs w:val="18"/>
                      <w:lang w:eastAsia="zh-CN"/>
                    </w:rPr>
                    <w:t>医疗废物存储间</w:t>
                  </w:r>
                  <w:r>
                    <w:rPr>
                      <w:rFonts w:hint="eastAsia" w:ascii="宋体" w:hAnsi="宋体" w:eastAsia="宋体" w:cs="宋体"/>
                      <w:sz w:val="18"/>
                      <w:szCs w:val="18"/>
                    </w:rPr>
                    <w:t>地面采用地面硬化+环氧地坪，防渗等级满足防渗要求。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471" w:type="pct"/>
                  <w:vMerge w:val="continue"/>
                  <w:vAlign w:val="center"/>
                </w:tcPr>
                <w:p>
                  <w:pPr>
                    <w:jc w:val="center"/>
                    <w:rPr>
                      <w:rFonts w:hint="eastAsia" w:ascii="宋体" w:hAnsi="宋体" w:eastAsia="宋体" w:cs="宋体"/>
                      <w:sz w:val="18"/>
                      <w:szCs w:val="18"/>
                    </w:rPr>
                  </w:pPr>
                </w:p>
              </w:tc>
              <w:tc>
                <w:tcPr>
                  <w:tcW w:w="1927" w:type="pct"/>
                  <w:vAlign w:val="center"/>
                </w:tcPr>
                <w:p>
                  <w:pPr>
                    <w:jc w:val="left"/>
                    <w:rPr>
                      <w:rFonts w:hint="eastAsia" w:ascii="宋体" w:hAnsi="宋体" w:eastAsia="宋体" w:cs="宋体"/>
                      <w:sz w:val="18"/>
                      <w:szCs w:val="18"/>
                    </w:rPr>
                  </w:pPr>
                  <w:r>
                    <w:rPr>
                      <w:rFonts w:hint="eastAsia" w:ascii="宋体" w:hAnsi="宋体" w:eastAsia="宋体" w:cs="宋体"/>
                      <w:sz w:val="18"/>
                      <w:szCs w:val="18"/>
                    </w:rPr>
                    <w:t>2、必须有泄漏液体收集装置、气体导出口及气体净化装置；</w:t>
                  </w:r>
                </w:p>
              </w:tc>
              <w:tc>
                <w:tcPr>
                  <w:tcW w:w="2601" w:type="pct"/>
                  <w:vAlign w:val="center"/>
                </w:tcPr>
                <w:p>
                  <w:pPr>
                    <w:jc w:val="left"/>
                    <w:rPr>
                      <w:rFonts w:hint="eastAsia" w:ascii="宋体" w:hAnsi="宋体" w:eastAsia="宋体" w:cs="宋体"/>
                      <w:sz w:val="18"/>
                      <w:szCs w:val="18"/>
                    </w:rPr>
                  </w:pPr>
                  <w:r>
                    <w:rPr>
                      <w:rFonts w:hint="eastAsia" w:ascii="宋体" w:hAnsi="宋体" w:eastAsia="宋体" w:cs="宋体"/>
                      <w:sz w:val="18"/>
                      <w:szCs w:val="18"/>
                    </w:rPr>
                    <w:t>企业</w:t>
                  </w:r>
                  <w:r>
                    <w:rPr>
                      <w:rFonts w:hint="eastAsia" w:ascii="宋体" w:hAnsi="宋体" w:eastAsia="宋体" w:cs="宋体"/>
                      <w:sz w:val="18"/>
                      <w:szCs w:val="18"/>
                      <w:lang w:eastAsia="zh-CN"/>
                    </w:rPr>
                    <w:t>医疗废物存储间</w:t>
                  </w:r>
                  <w:r>
                    <w:rPr>
                      <w:rFonts w:hint="eastAsia" w:ascii="宋体" w:hAnsi="宋体" w:eastAsia="宋体" w:cs="宋体"/>
                      <w:sz w:val="18"/>
                      <w:szCs w:val="18"/>
                    </w:rPr>
                    <w:t>内部设计导流槽与收集井，并且安装通风装置，项目危废</w:t>
                  </w:r>
                  <w:r>
                    <w:rPr>
                      <w:rFonts w:hint="eastAsia" w:ascii="宋体" w:hAnsi="宋体" w:eastAsia="宋体" w:cs="宋体"/>
                      <w:sz w:val="18"/>
                      <w:szCs w:val="18"/>
                      <w:lang w:val="en-US" w:eastAsia="zh-CN"/>
                    </w:rPr>
                    <w:t>液体</w:t>
                  </w:r>
                  <w:r>
                    <w:rPr>
                      <w:rFonts w:hint="eastAsia" w:ascii="宋体" w:hAnsi="宋体" w:eastAsia="宋体" w:cs="宋体"/>
                      <w:sz w:val="18"/>
                      <w:szCs w:val="18"/>
                    </w:rPr>
                    <w:t>均用密封容器储存在</w:t>
                  </w:r>
                  <w:r>
                    <w:rPr>
                      <w:rFonts w:hint="eastAsia" w:ascii="宋体" w:hAnsi="宋体" w:eastAsia="宋体" w:cs="宋体"/>
                      <w:sz w:val="18"/>
                      <w:szCs w:val="18"/>
                      <w:lang w:eastAsia="zh-CN"/>
                    </w:rPr>
                    <w:t>医疗废物存储间</w:t>
                  </w:r>
                  <w:r>
                    <w:rPr>
                      <w:rFonts w:hint="eastAsia" w:ascii="宋体" w:hAnsi="宋体" w:eastAsia="宋体" w:cs="宋体"/>
                      <w:sz w:val="18"/>
                      <w:szCs w:val="18"/>
                    </w:rPr>
                    <w:t>内，因此企业</w:t>
                  </w:r>
                  <w:r>
                    <w:rPr>
                      <w:rFonts w:hint="eastAsia" w:ascii="宋体" w:hAnsi="宋体" w:eastAsia="宋体" w:cs="宋体"/>
                      <w:sz w:val="18"/>
                      <w:szCs w:val="18"/>
                      <w:lang w:eastAsia="zh-CN"/>
                    </w:rPr>
                    <w:t>医疗废物存储间</w:t>
                  </w:r>
                  <w:r>
                    <w:rPr>
                      <w:rFonts w:hint="eastAsia" w:ascii="宋体" w:hAnsi="宋体" w:eastAsia="宋体" w:cs="宋体"/>
                      <w:sz w:val="18"/>
                      <w:szCs w:val="18"/>
                    </w:rPr>
                    <w:t>无须设置气体净化装置。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471" w:type="pct"/>
                  <w:vMerge w:val="continue"/>
                  <w:vAlign w:val="center"/>
                </w:tcPr>
                <w:p>
                  <w:pPr>
                    <w:jc w:val="center"/>
                    <w:rPr>
                      <w:rFonts w:hint="eastAsia" w:ascii="宋体" w:hAnsi="宋体" w:eastAsia="宋体" w:cs="宋体"/>
                      <w:sz w:val="18"/>
                      <w:szCs w:val="18"/>
                    </w:rPr>
                  </w:pPr>
                </w:p>
              </w:tc>
              <w:tc>
                <w:tcPr>
                  <w:tcW w:w="1927" w:type="pct"/>
                  <w:vAlign w:val="center"/>
                </w:tcPr>
                <w:p>
                  <w:pPr>
                    <w:jc w:val="left"/>
                    <w:rPr>
                      <w:rFonts w:hint="eastAsia" w:ascii="宋体" w:hAnsi="宋体" w:eastAsia="宋体" w:cs="宋体"/>
                      <w:sz w:val="18"/>
                      <w:szCs w:val="18"/>
                    </w:rPr>
                  </w:pPr>
                  <w:r>
                    <w:rPr>
                      <w:rFonts w:hint="eastAsia" w:ascii="宋体" w:hAnsi="宋体" w:eastAsia="宋体" w:cs="宋体"/>
                      <w:sz w:val="18"/>
                      <w:szCs w:val="18"/>
                    </w:rPr>
                    <w:t>3、设施内要有安全照明设施、观察窗口；通讯设施；消防设施。</w:t>
                  </w:r>
                </w:p>
              </w:tc>
              <w:tc>
                <w:tcPr>
                  <w:tcW w:w="2601" w:type="pct"/>
                  <w:vAlign w:val="center"/>
                </w:tcPr>
                <w:p>
                  <w:pPr>
                    <w:jc w:val="left"/>
                    <w:rPr>
                      <w:rFonts w:hint="eastAsia" w:ascii="宋体" w:hAnsi="宋体" w:eastAsia="宋体" w:cs="宋体"/>
                      <w:sz w:val="18"/>
                      <w:szCs w:val="18"/>
                    </w:rPr>
                  </w:pPr>
                  <w:r>
                    <w:rPr>
                      <w:rFonts w:hint="eastAsia" w:ascii="宋体" w:hAnsi="宋体" w:eastAsia="宋体" w:cs="宋体"/>
                      <w:sz w:val="18"/>
                      <w:szCs w:val="18"/>
                      <w:lang w:eastAsia="zh-CN"/>
                    </w:rPr>
                    <w:t>医疗废物存储间</w:t>
                  </w:r>
                  <w:r>
                    <w:rPr>
                      <w:rFonts w:hint="eastAsia" w:ascii="宋体" w:hAnsi="宋体" w:eastAsia="宋体" w:cs="宋体"/>
                      <w:sz w:val="18"/>
                      <w:szCs w:val="18"/>
                    </w:rPr>
                    <w:t>内拟配备防爆灯、禁火标志、灭火器（如</w:t>
                  </w:r>
                  <w:r>
                    <w:rPr>
                      <w:rFonts w:hint="eastAsia" w:ascii="宋体" w:hAnsi="宋体" w:eastAsia="宋体" w:cs="宋体"/>
                      <w:sz w:val="18"/>
                      <w:szCs w:val="18"/>
                      <w:lang w:val="en-US" w:eastAsia="zh-CN"/>
                    </w:rPr>
                    <w:t>黄沙</w:t>
                  </w:r>
                  <w:r>
                    <w:rPr>
                      <w:rFonts w:hint="eastAsia" w:ascii="宋体" w:hAnsi="宋体" w:eastAsia="宋体" w:cs="宋体"/>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471" w:type="pct"/>
                  <w:vMerge w:val="continue"/>
                  <w:vAlign w:val="center"/>
                </w:tcPr>
                <w:p>
                  <w:pPr>
                    <w:jc w:val="center"/>
                    <w:rPr>
                      <w:rFonts w:hint="eastAsia" w:ascii="宋体" w:hAnsi="宋体" w:eastAsia="宋体" w:cs="宋体"/>
                      <w:sz w:val="18"/>
                      <w:szCs w:val="18"/>
                    </w:rPr>
                  </w:pPr>
                </w:p>
              </w:tc>
              <w:tc>
                <w:tcPr>
                  <w:tcW w:w="1927" w:type="pct"/>
                  <w:vAlign w:val="center"/>
                </w:tcPr>
                <w:p>
                  <w:pPr>
                    <w:jc w:val="left"/>
                    <w:rPr>
                      <w:rFonts w:hint="eastAsia" w:ascii="宋体" w:hAnsi="宋体" w:eastAsia="宋体" w:cs="宋体"/>
                      <w:sz w:val="18"/>
                      <w:szCs w:val="18"/>
                    </w:rPr>
                  </w:pPr>
                  <w:r>
                    <w:rPr>
                      <w:rFonts w:hint="eastAsia" w:ascii="宋体" w:hAnsi="宋体" w:eastAsia="宋体" w:cs="宋体"/>
                      <w:sz w:val="18"/>
                      <w:szCs w:val="18"/>
                    </w:rPr>
                    <w:t>4、危险废物堆要防风、防雨、防晒；</w:t>
                  </w:r>
                </w:p>
              </w:tc>
              <w:tc>
                <w:tcPr>
                  <w:tcW w:w="2601" w:type="pct"/>
                  <w:vAlign w:val="center"/>
                </w:tcPr>
                <w:p>
                  <w:pPr>
                    <w:jc w:val="left"/>
                    <w:rPr>
                      <w:rFonts w:hint="eastAsia" w:ascii="宋体" w:hAnsi="宋体" w:eastAsia="宋体" w:cs="宋体"/>
                      <w:sz w:val="18"/>
                      <w:szCs w:val="18"/>
                    </w:rPr>
                  </w:pPr>
                  <w:r>
                    <w:rPr>
                      <w:rFonts w:hint="eastAsia" w:ascii="宋体" w:hAnsi="宋体" w:eastAsia="宋体" w:cs="宋体"/>
                      <w:sz w:val="18"/>
                      <w:szCs w:val="18"/>
                      <w:lang w:eastAsia="zh-CN"/>
                    </w:rPr>
                    <w:t>医疗废物存储间</w:t>
                  </w:r>
                  <w:r>
                    <w:rPr>
                      <w:rFonts w:hint="eastAsia" w:ascii="宋体" w:hAnsi="宋体" w:eastAsia="宋体" w:cs="宋体"/>
                      <w:sz w:val="18"/>
                      <w:szCs w:val="18"/>
                    </w:rPr>
                    <w:t>密闭，地面防渗处理，具备防风、防雨、防晒功能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471" w:type="pct"/>
                  <w:vMerge w:val="continue"/>
                  <w:vAlign w:val="center"/>
                </w:tcPr>
                <w:p>
                  <w:pPr>
                    <w:jc w:val="center"/>
                    <w:rPr>
                      <w:rFonts w:hint="eastAsia" w:ascii="宋体" w:hAnsi="宋体" w:eastAsia="宋体" w:cs="宋体"/>
                      <w:sz w:val="18"/>
                      <w:szCs w:val="18"/>
                    </w:rPr>
                  </w:pPr>
                </w:p>
              </w:tc>
              <w:tc>
                <w:tcPr>
                  <w:tcW w:w="1927"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5、在危险废物仓库出入口、设施内部、危险废物运输车辆通道等关键位置按照危险废物贮存设施视频监控布设要求设置视频监控，并与中控室联网。</w:t>
                  </w:r>
                </w:p>
              </w:tc>
              <w:tc>
                <w:tcPr>
                  <w:tcW w:w="2601" w:type="pct"/>
                  <w:vAlign w:val="center"/>
                </w:tcPr>
                <w:p>
                  <w:pPr>
                    <w:jc w:val="left"/>
                    <w:rPr>
                      <w:rFonts w:hint="eastAsia" w:ascii="宋体" w:hAnsi="宋体" w:eastAsia="宋体" w:cs="宋体"/>
                      <w:sz w:val="18"/>
                      <w:szCs w:val="18"/>
                    </w:rPr>
                  </w:pPr>
                  <w:r>
                    <w:rPr>
                      <w:rFonts w:hint="eastAsia" w:ascii="宋体" w:hAnsi="宋体" w:eastAsia="宋体" w:cs="宋体"/>
                      <w:sz w:val="18"/>
                      <w:szCs w:val="18"/>
                    </w:rPr>
                    <w:t>建设单位拟在仓库出入口、仓库内、厂门口等关键位置安装视频监控设施，进行实时监控，并与中控室联网。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74" w:hRule="atLeast"/>
                <w:jc w:val="center"/>
              </w:trPr>
              <w:tc>
                <w:tcPr>
                  <w:tcW w:w="471" w:type="pct"/>
                  <w:vMerge w:val="continue"/>
                  <w:vAlign w:val="center"/>
                </w:tcPr>
                <w:p>
                  <w:pPr>
                    <w:jc w:val="center"/>
                    <w:rPr>
                      <w:rFonts w:hint="eastAsia" w:ascii="宋体" w:hAnsi="宋体" w:eastAsia="宋体" w:cs="宋体"/>
                      <w:sz w:val="18"/>
                      <w:szCs w:val="18"/>
                    </w:rPr>
                  </w:pPr>
                </w:p>
              </w:tc>
              <w:tc>
                <w:tcPr>
                  <w:tcW w:w="1927" w:type="pct"/>
                  <w:vAlign w:val="center"/>
                </w:tcPr>
                <w:p>
                  <w:pPr>
                    <w:jc w:val="left"/>
                    <w:rPr>
                      <w:rFonts w:hint="eastAsia" w:ascii="宋体" w:hAnsi="宋体" w:eastAsia="宋体" w:cs="宋体"/>
                      <w:sz w:val="18"/>
                      <w:szCs w:val="18"/>
                    </w:rPr>
                  </w:pPr>
                  <w:r>
                    <w:rPr>
                      <w:rFonts w:hint="eastAsia" w:ascii="宋体" w:hAnsi="宋体" w:eastAsia="宋体" w:cs="宋体"/>
                      <w:sz w:val="18"/>
                      <w:szCs w:val="18"/>
                    </w:rPr>
                    <w:t>6、按照《环境保护图形标志固体废物贮存（处置）场》（GB15562.2-1995）和危险废物识别标识设置规范设置标志。</w:t>
                  </w:r>
                </w:p>
              </w:tc>
              <w:tc>
                <w:tcPr>
                  <w:tcW w:w="2601" w:type="pct"/>
                  <w:vAlign w:val="center"/>
                </w:tcPr>
                <w:p>
                  <w:pPr>
                    <w:jc w:val="left"/>
                    <w:rPr>
                      <w:rFonts w:hint="eastAsia" w:ascii="宋体" w:hAnsi="宋体" w:eastAsia="宋体" w:cs="宋体"/>
                      <w:sz w:val="18"/>
                      <w:szCs w:val="18"/>
                    </w:rPr>
                  </w:pPr>
                  <w:r>
                    <w:rPr>
                      <w:rFonts w:hint="eastAsia" w:ascii="宋体" w:hAnsi="宋体" w:eastAsia="宋体" w:cs="宋体"/>
                      <w:sz w:val="18"/>
                      <w:szCs w:val="18"/>
                    </w:rPr>
                    <w:t>建设单位拟在厂区门口设置危废信息公开栏，</w:t>
                  </w:r>
                  <w:r>
                    <w:rPr>
                      <w:rFonts w:hint="eastAsia" w:ascii="宋体" w:hAnsi="宋体" w:eastAsia="宋体" w:cs="宋体"/>
                      <w:sz w:val="18"/>
                      <w:szCs w:val="18"/>
                      <w:lang w:eastAsia="zh-CN"/>
                    </w:rPr>
                    <w:t>医疗废物存储间</w:t>
                  </w:r>
                  <w:r>
                    <w:rPr>
                      <w:rFonts w:hint="eastAsia" w:ascii="宋体" w:hAnsi="宋体" w:eastAsia="宋体" w:cs="宋体"/>
                      <w:sz w:val="18"/>
                      <w:szCs w:val="18"/>
                    </w:rPr>
                    <w:t>外墙及各类危废贮存处墙面设置贮存设施警示标志牌，对危险废物的容器和包装物以及收集、贮存、运输、处置危险废物的设施、场所，拟设置危险废物识别标志。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471" w:type="pct"/>
                  <w:vMerge w:val="restart"/>
                  <w:vAlign w:val="center"/>
                </w:tcPr>
                <w:p>
                  <w:pPr>
                    <w:jc w:val="center"/>
                    <w:rPr>
                      <w:rFonts w:hint="eastAsia" w:ascii="宋体" w:hAnsi="宋体" w:eastAsia="宋体" w:cs="宋体"/>
                      <w:sz w:val="18"/>
                      <w:szCs w:val="18"/>
                    </w:rPr>
                  </w:pPr>
                  <w:r>
                    <w:rPr>
                      <w:rFonts w:hint="eastAsia" w:ascii="宋体" w:hAnsi="宋体" w:eastAsia="宋体" w:cs="宋体"/>
                      <w:sz w:val="18"/>
                      <w:szCs w:val="18"/>
                    </w:rPr>
                    <w:t>危废贮存过程</w:t>
                  </w:r>
                </w:p>
              </w:tc>
              <w:tc>
                <w:tcPr>
                  <w:tcW w:w="1927" w:type="pct"/>
                  <w:vAlign w:val="center"/>
                </w:tcPr>
                <w:p>
                  <w:pPr>
                    <w:jc w:val="left"/>
                    <w:rPr>
                      <w:rFonts w:hint="eastAsia" w:ascii="宋体" w:hAnsi="宋体" w:eastAsia="宋体" w:cs="宋体"/>
                      <w:sz w:val="18"/>
                      <w:szCs w:val="18"/>
                    </w:rPr>
                  </w:pPr>
                  <w:r>
                    <w:rPr>
                      <w:rFonts w:hint="eastAsia" w:ascii="宋体" w:hAnsi="宋体" w:eastAsia="宋体" w:cs="宋体"/>
                      <w:sz w:val="18"/>
                      <w:szCs w:val="18"/>
                    </w:rPr>
                    <w:t>1、企业应根据危险废物的种类和特性进行分区、分类贮存。</w:t>
                  </w:r>
                </w:p>
              </w:tc>
              <w:tc>
                <w:tcPr>
                  <w:tcW w:w="2601" w:type="pct"/>
                  <w:vAlign w:val="center"/>
                </w:tcPr>
                <w:p>
                  <w:pPr>
                    <w:jc w:val="left"/>
                    <w:rPr>
                      <w:rFonts w:hint="eastAsia" w:ascii="宋体" w:hAnsi="宋体" w:eastAsia="宋体" w:cs="宋体"/>
                      <w:sz w:val="18"/>
                      <w:szCs w:val="18"/>
                    </w:rPr>
                  </w:pPr>
                  <w:r>
                    <w:rPr>
                      <w:rFonts w:hint="eastAsia" w:ascii="宋体" w:hAnsi="宋体" w:eastAsia="宋体" w:cs="宋体"/>
                      <w:sz w:val="18"/>
                      <w:szCs w:val="18"/>
                    </w:rPr>
                    <w:t>建设项目危废分类存放、贮存，不相容的危险废物除分类存放，还应设置隔离间隔断。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471" w:type="pct"/>
                  <w:vMerge w:val="continue"/>
                  <w:vAlign w:val="center"/>
                </w:tcPr>
                <w:p>
                  <w:pPr>
                    <w:jc w:val="center"/>
                    <w:rPr>
                      <w:rFonts w:hint="eastAsia" w:ascii="宋体" w:hAnsi="宋体" w:eastAsia="宋体" w:cs="宋体"/>
                      <w:sz w:val="18"/>
                      <w:szCs w:val="18"/>
                    </w:rPr>
                  </w:pPr>
                </w:p>
              </w:tc>
              <w:tc>
                <w:tcPr>
                  <w:tcW w:w="1927" w:type="pct"/>
                  <w:vAlign w:val="center"/>
                </w:tcPr>
                <w:p>
                  <w:pPr>
                    <w:jc w:val="left"/>
                    <w:rPr>
                      <w:rFonts w:hint="eastAsia" w:ascii="宋体" w:hAnsi="宋体" w:eastAsia="宋体" w:cs="宋体"/>
                      <w:sz w:val="18"/>
                      <w:szCs w:val="18"/>
                    </w:rPr>
                  </w:pPr>
                  <w:r>
                    <w:rPr>
                      <w:rFonts w:hint="eastAsia" w:ascii="宋体" w:hAnsi="宋体" w:eastAsia="宋体" w:cs="宋体"/>
                      <w:sz w:val="18"/>
                      <w:szCs w:val="18"/>
                    </w:rPr>
                    <w:t>2、危险废物贮存容器应当使用符合标准的容器盛装危险废物，装载危险废物的容器及材质要满足相应的强度要求，完好无损，盛装危险废物的容器材质和衬里要与危险废物相容。</w:t>
                  </w:r>
                </w:p>
              </w:tc>
              <w:tc>
                <w:tcPr>
                  <w:tcW w:w="2601" w:type="pct"/>
                  <w:vAlign w:val="center"/>
                </w:tcPr>
                <w:p>
                  <w:pPr>
                    <w:jc w:val="left"/>
                    <w:rPr>
                      <w:rFonts w:hint="eastAsia" w:ascii="宋体" w:hAnsi="宋体" w:eastAsia="宋体" w:cs="宋体"/>
                      <w:sz w:val="18"/>
                      <w:szCs w:val="18"/>
                    </w:rPr>
                  </w:pPr>
                  <w:r>
                    <w:rPr>
                      <w:rFonts w:hint="eastAsia" w:ascii="宋体" w:hAnsi="宋体" w:eastAsia="宋体" w:cs="宋体"/>
                      <w:sz w:val="18"/>
                      <w:szCs w:val="18"/>
                    </w:rPr>
                    <w:t>建设项目采取的危险废物贮存容器材质均与危险废物相容，完好无损，满足要求。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471" w:type="pct"/>
                  <w:vMerge w:val="continue"/>
                  <w:vAlign w:val="center"/>
                </w:tcPr>
                <w:p>
                  <w:pPr>
                    <w:jc w:val="center"/>
                    <w:rPr>
                      <w:rFonts w:hint="eastAsia" w:ascii="宋体" w:hAnsi="宋体" w:eastAsia="宋体" w:cs="宋体"/>
                      <w:sz w:val="18"/>
                      <w:szCs w:val="18"/>
                    </w:rPr>
                  </w:pPr>
                </w:p>
              </w:tc>
              <w:tc>
                <w:tcPr>
                  <w:tcW w:w="1927" w:type="pct"/>
                  <w:vAlign w:val="center"/>
                </w:tcPr>
                <w:p>
                  <w:pPr>
                    <w:jc w:val="left"/>
                    <w:rPr>
                      <w:rFonts w:hint="eastAsia" w:ascii="宋体" w:hAnsi="宋体" w:eastAsia="宋体" w:cs="宋体"/>
                      <w:sz w:val="18"/>
                      <w:szCs w:val="18"/>
                    </w:rPr>
                  </w:pPr>
                  <w:r>
                    <w:rPr>
                      <w:rFonts w:hint="eastAsia" w:ascii="宋体" w:hAnsi="宋体" w:eastAsia="宋体" w:cs="宋体"/>
                      <w:sz w:val="18"/>
                      <w:szCs w:val="18"/>
                    </w:rPr>
                    <w:t>3、不得将不相容的废物混合或合并存放。</w:t>
                  </w:r>
                </w:p>
              </w:tc>
              <w:tc>
                <w:tcPr>
                  <w:tcW w:w="2601" w:type="pct"/>
                  <w:vAlign w:val="center"/>
                </w:tcPr>
                <w:p>
                  <w:pPr>
                    <w:jc w:val="left"/>
                    <w:rPr>
                      <w:rFonts w:hint="eastAsia" w:ascii="宋体" w:hAnsi="宋体" w:eastAsia="宋体" w:cs="宋体"/>
                      <w:sz w:val="18"/>
                      <w:szCs w:val="18"/>
                    </w:rPr>
                  </w:pPr>
                  <w:r>
                    <w:rPr>
                      <w:rFonts w:hint="eastAsia" w:ascii="宋体" w:hAnsi="宋体" w:eastAsia="宋体" w:cs="宋体"/>
                      <w:sz w:val="18"/>
                      <w:szCs w:val="18"/>
                    </w:rPr>
                    <w:t>建设项目每种危险废物均独立包装，不涉及混合问题。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471" w:type="pct"/>
                  <w:vAlign w:val="center"/>
                </w:tcPr>
                <w:p>
                  <w:pPr>
                    <w:jc w:val="center"/>
                    <w:rPr>
                      <w:rFonts w:hint="eastAsia" w:ascii="宋体" w:hAnsi="宋体" w:eastAsia="宋体" w:cs="宋体"/>
                      <w:sz w:val="18"/>
                      <w:szCs w:val="18"/>
                    </w:rPr>
                  </w:pPr>
                  <w:r>
                    <w:rPr>
                      <w:rFonts w:hint="eastAsia" w:ascii="宋体" w:hAnsi="宋体" w:eastAsia="宋体" w:cs="宋体"/>
                      <w:sz w:val="18"/>
                      <w:szCs w:val="18"/>
                    </w:rPr>
                    <w:t>危险废物暂存管理要求</w:t>
                  </w:r>
                </w:p>
              </w:tc>
              <w:tc>
                <w:tcPr>
                  <w:tcW w:w="1927" w:type="pct"/>
                  <w:vAlign w:val="center"/>
                </w:tcPr>
                <w:p>
                  <w:pPr>
                    <w:ind w:firstLine="360" w:firstLineChars="200"/>
                    <w:jc w:val="left"/>
                    <w:rPr>
                      <w:rFonts w:hint="eastAsia" w:ascii="宋体" w:hAnsi="宋体" w:eastAsia="宋体" w:cs="宋体"/>
                      <w:sz w:val="18"/>
                      <w:szCs w:val="18"/>
                    </w:rPr>
                  </w:pPr>
                  <w:r>
                    <w:rPr>
                      <w:rFonts w:hint="eastAsia" w:ascii="宋体" w:hAnsi="宋体" w:eastAsia="宋体" w:cs="宋体"/>
                      <w:sz w:val="18"/>
                      <w:szCs w:val="18"/>
                    </w:rPr>
                    <w:t>须做好危险废物情况的记录，记录上须注明危险废物的名称、来源、数量、特性和包装容器的类别、入库日期、存放库位、废物出库日期及接收单位名称。危险废物的记录和货单在危险废物回取后应继续保留三年。</w:t>
                  </w:r>
                </w:p>
              </w:tc>
              <w:tc>
                <w:tcPr>
                  <w:tcW w:w="2601" w:type="pct"/>
                  <w:vAlign w:val="center"/>
                </w:tcPr>
                <w:p>
                  <w:pPr>
                    <w:ind w:firstLine="360" w:firstLineChars="200"/>
                    <w:jc w:val="left"/>
                    <w:rPr>
                      <w:rFonts w:hint="eastAsia" w:ascii="宋体" w:hAnsi="宋体" w:eastAsia="宋体" w:cs="宋体"/>
                      <w:sz w:val="18"/>
                      <w:szCs w:val="18"/>
                    </w:rPr>
                  </w:pPr>
                  <w:r>
                    <w:rPr>
                      <w:rFonts w:hint="eastAsia" w:ascii="宋体" w:hAnsi="宋体" w:eastAsia="宋体" w:cs="宋体"/>
                      <w:sz w:val="18"/>
                      <w:szCs w:val="18"/>
                    </w:rPr>
                    <w:t>建设项目危废暂存间设立危险废物进出入台账登记管理制度，记录危险废物的名称、来源、数量、特性和包装容器的类别、入库日期、存放库位、废物出库日期及接收单位名称，严格执行危险废物电子联单制度，实行对危险废物从源头到终端处理的全过程监管，确保危险废物100%得到安全处置。危险废物的记录和货单保留三年。</w:t>
                  </w:r>
                </w:p>
              </w:tc>
            </w:tr>
          </w:tbl>
          <w:p>
            <w:pPr>
              <w:spacing w:line="360" w:lineRule="auto"/>
              <w:outlineLvl w:val="1"/>
              <w:rPr>
                <w:rFonts w:hint="eastAsia" w:ascii="宋体" w:hAnsi="宋体" w:eastAsia="宋体" w:cs="宋体"/>
                <w:b/>
                <w:sz w:val="21"/>
                <w:szCs w:val="21"/>
              </w:rPr>
            </w:pPr>
            <w:r>
              <w:rPr>
                <w:rFonts w:hint="eastAsia" w:ascii="宋体" w:hAnsi="宋体"/>
                <w:sz w:val="24"/>
                <w:szCs w:val="24"/>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根据《省生态环境厅关于做好江苏省危险废物全生命周期监控系统上线运行工作的通知》（苏环办</w:t>
            </w:r>
            <w:r>
              <w:rPr>
                <w:rFonts w:hint="eastAsia" w:ascii="宋体" w:hAnsi="宋体" w:eastAsia="宋体" w:cs="宋体"/>
                <w:sz w:val="21"/>
                <w:szCs w:val="21"/>
                <w:lang w:eastAsia="zh-CN"/>
              </w:rPr>
              <w:t>〔</w:t>
            </w:r>
            <w:r>
              <w:rPr>
                <w:rFonts w:hint="eastAsia" w:ascii="宋体" w:hAnsi="宋体" w:eastAsia="宋体" w:cs="宋体"/>
                <w:sz w:val="21"/>
                <w:szCs w:val="21"/>
              </w:rPr>
              <w:t>2020</w:t>
            </w:r>
            <w:r>
              <w:rPr>
                <w:rFonts w:hint="eastAsia" w:ascii="宋体" w:hAnsi="宋体" w:eastAsia="宋体" w:cs="宋体"/>
                <w:sz w:val="21"/>
                <w:szCs w:val="21"/>
                <w:lang w:eastAsia="zh-CN"/>
              </w:rPr>
              <w:t>〕</w:t>
            </w:r>
            <w:r>
              <w:rPr>
                <w:rFonts w:hint="eastAsia" w:ascii="宋体" w:hAnsi="宋体" w:eastAsia="宋体" w:cs="宋体"/>
                <w:sz w:val="21"/>
                <w:szCs w:val="21"/>
              </w:rPr>
              <w:t>401号）与《危险废物识别标志设置技术规范》（HJ1276—2022）。本项目固废堆放场的环境保护图形标志的具体要求见下表。</w:t>
            </w:r>
          </w:p>
          <w:p>
            <w:pPr>
              <w:spacing w:line="360" w:lineRule="auto"/>
              <w:jc w:val="center"/>
              <w:outlineLvl w:val="1"/>
              <w:rPr>
                <w:rFonts w:hint="eastAsia" w:ascii="宋体" w:hAnsi="宋体" w:eastAsia="宋体" w:cs="宋体"/>
                <w:b/>
                <w:sz w:val="21"/>
                <w:szCs w:val="21"/>
              </w:rPr>
            </w:pPr>
            <w:r>
              <w:rPr>
                <w:rFonts w:hint="eastAsia" w:ascii="宋体" w:hAnsi="宋体" w:eastAsia="宋体" w:cs="宋体"/>
                <w:b/>
                <w:sz w:val="21"/>
                <w:szCs w:val="21"/>
              </w:rPr>
              <w:t>表4-</w:t>
            </w:r>
            <w:r>
              <w:rPr>
                <w:rFonts w:hint="eastAsia" w:ascii="宋体" w:hAnsi="宋体" w:eastAsia="宋体" w:cs="宋体"/>
                <w:b/>
                <w:sz w:val="21"/>
                <w:szCs w:val="21"/>
                <w:lang w:val="en-US" w:eastAsia="zh-CN"/>
              </w:rPr>
              <w:t>14</w:t>
            </w:r>
            <w:r>
              <w:rPr>
                <w:rFonts w:hint="eastAsia" w:ascii="宋体" w:hAnsi="宋体" w:eastAsia="宋体" w:cs="宋体"/>
                <w:b/>
                <w:sz w:val="21"/>
                <w:szCs w:val="21"/>
              </w:rPr>
              <w:t>固废堆放场的环境保护图形标志一览表</w:t>
            </w:r>
          </w:p>
          <w:tbl>
            <w:tblPr>
              <w:tblStyle w:val="36"/>
              <w:tblW w:w="5000" w:type="pct"/>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87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5000" w:type="pct"/>
                </w:tcPr>
                <w:p>
                  <w:pPr>
                    <w:jc w:val="left"/>
                    <w:outlineLvl w:val="1"/>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一般固废暂存：</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1、规格：30×40cm</w:t>
                  </w:r>
                  <w:r>
                    <w:rPr>
                      <w:rFonts w:hint="default" w:ascii="Times New Roman" w:hAnsi="Times New Roman" w:eastAsia="宋体" w:cs="Times New Roman"/>
                      <w:sz w:val="18"/>
                      <w:szCs w:val="18"/>
                      <w:vertAlign w:val="superscript"/>
                    </w:rPr>
                    <w:t>2</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2、材质：1.0mm铁板或铝板</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3、污染物种类填：包装废料；</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4、排口编号：企业自行编号；</w:t>
                  </w:r>
                </w:p>
                <w:p>
                  <w:pPr>
                    <w:jc w:val="left"/>
                    <w:outlineLvl w:val="1"/>
                    <w:rPr>
                      <w:rFonts w:hint="default" w:ascii="Times New Roman" w:hAnsi="Times New Roman" w:eastAsia="宋体" w:cs="Times New Roman"/>
                      <w:b/>
                      <w:color w:val="FF0000"/>
                      <w:sz w:val="21"/>
                      <w:szCs w:val="21"/>
                    </w:rPr>
                  </w:pPr>
                  <w:r>
                    <w:rPr>
                      <w:rFonts w:hint="default" w:ascii="Times New Roman" w:hAnsi="Times New Roman" w:eastAsia="宋体" w:cs="Times New Roman"/>
                      <w:sz w:val="18"/>
                      <w:szCs w:val="18"/>
                    </w:rPr>
                    <w:t>5、企业名称：企业全名；</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94" w:hRule="atLeast"/>
              </w:trPr>
              <w:tc>
                <w:tcPr>
                  <w:tcW w:w="5000" w:type="pct"/>
                </w:tcPr>
                <w:p>
                  <w:pPr>
                    <w:jc w:val="center"/>
                    <w:outlineLvl w:val="1"/>
                    <w:rPr>
                      <w:rFonts w:hint="default" w:ascii="Times New Roman" w:hAnsi="Times New Roman" w:eastAsia="宋体" w:cs="Times New Roman"/>
                      <w:b/>
                      <w:color w:val="FF0000"/>
                      <w:sz w:val="21"/>
                      <w:szCs w:val="21"/>
                    </w:rPr>
                  </w:pPr>
                  <w:r>
                    <w:rPr>
                      <w:rFonts w:hint="default" w:ascii="Times New Roman" w:hAnsi="Times New Roman" w:eastAsia="宋体" w:cs="Times New Roman"/>
                      <w:b/>
                      <w:color w:val="FF0000"/>
                      <w:sz w:val="21"/>
                      <w:szCs w:val="21"/>
                    </w:rPr>
                    <w:drawing>
                      <wp:inline distT="0" distB="0" distL="114300" distR="114300">
                        <wp:extent cx="1514475" cy="1074420"/>
                        <wp:effectExtent l="0" t="0" r="9525" b="11430"/>
                        <wp:docPr id="13" name="图片 25" descr="1685796634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5" descr="1685796634407"/>
                                <pic:cNvPicPr>
                                  <a:picLocks noChangeAspect="1"/>
                                </pic:cNvPicPr>
                              </pic:nvPicPr>
                              <pic:blipFill>
                                <a:blip r:embed="rId12"/>
                                <a:stretch>
                                  <a:fillRect/>
                                </a:stretch>
                              </pic:blipFill>
                              <pic:spPr>
                                <a:xfrm>
                                  <a:off x="0" y="0"/>
                                  <a:ext cx="1514475" cy="1074420"/>
                                </a:xfrm>
                                <a:prstGeom prst="rect">
                                  <a:avLst/>
                                </a:prstGeom>
                                <a:noFill/>
                                <a:ln>
                                  <a:noFill/>
                                </a:ln>
                              </pic:spPr>
                            </pic:pic>
                          </a:graphicData>
                        </a:graphic>
                      </wp:inline>
                    </w:drawing>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62" w:hRule="atLeast"/>
              </w:trPr>
              <w:tc>
                <w:tcPr>
                  <w:tcW w:w="5000" w:type="pct"/>
                </w:tcPr>
                <w:p>
                  <w:pPr>
                    <w:jc w:val="left"/>
                    <w:outlineLvl w:val="1"/>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危废信息公开：</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1.设置位置</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采用立式固定方式固定在危险废物产生单位厂区门口醒目位置，公开栏顶端距离地200cm处</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2.规格参数</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（1）尺寸：底板120cm×80cm</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（2）颜色与字体：公开栏底板背景颜色为蓝色</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印刷CMYK参数附后，下同</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，文字颜色为白色，所有文字字体为黑体</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（3）材料：底板采用5mm铝板</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3.公开内容</w:t>
                  </w:r>
                </w:p>
                <w:p>
                  <w:pPr>
                    <w:jc w:val="left"/>
                    <w:outlineLvl w:val="1"/>
                    <w:rPr>
                      <w:rFonts w:hint="default" w:ascii="Times New Roman" w:hAnsi="Times New Roman" w:eastAsia="宋体" w:cs="Times New Roman"/>
                      <w:b/>
                      <w:sz w:val="21"/>
                      <w:szCs w:val="21"/>
                    </w:rPr>
                  </w:pPr>
                  <w:r>
                    <w:rPr>
                      <w:rFonts w:hint="default" w:ascii="Times New Roman" w:hAnsi="Times New Roman" w:eastAsia="宋体" w:cs="Times New Roman"/>
                      <w:sz w:val="18"/>
                      <w:szCs w:val="18"/>
                    </w:rPr>
                    <w:t>包括企业名称、地址、法人代表及电话、环保负责人及电话、危险废物产生规模、贮存设施建筑面积和容积、贮存设施数量、危险废物名称、危险废物代码、环评批文、产生来源、环境污染防治措施、厂区平面示意图、监督举报途径、监制单位等信息</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738" w:hRule="atLeast"/>
              </w:trPr>
              <w:tc>
                <w:tcPr>
                  <w:tcW w:w="5000" w:type="pct"/>
                </w:tcPr>
                <w:p>
                  <w:pPr>
                    <w:jc w:val="center"/>
                    <w:outlineLvl w:val="1"/>
                    <w:rPr>
                      <w:rFonts w:hint="default" w:ascii="Times New Roman" w:hAnsi="Times New Roman" w:eastAsia="宋体" w:cs="Times New Roman"/>
                      <w:b/>
                      <w:color w:val="FF0000"/>
                      <w:sz w:val="21"/>
                      <w:szCs w:val="21"/>
                    </w:rPr>
                  </w:pPr>
                  <w:r>
                    <w:rPr>
                      <w:rFonts w:hint="default" w:ascii="Times New Roman" w:hAnsi="Times New Roman" w:eastAsia="宋体" w:cs="Times New Roman"/>
                      <w:b/>
                      <w:color w:val="FF0000"/>
                      <w:sz w:val="21"/>
                      <w:szCs w:val="21"/>
                    </w:rPr>
                    <w:drawing>
                      <wp:inline distT="0" distB="0" distL="114300" distR="114300">
                        <wp:extent cx="1694815" cy="1109980"/>
                        <wp:effectExtent l="0" t="0" r="635" b="13970"/>
                        <wp:docPr id="14" name="图片 26" descr="1685796860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6" descr="1685796860321"/>
                                <pic:cNvPicPr>
                                  <a:picLocks noChangeAspect="1"/>
                                </pic:cNvPicPr>
                              </pic:nvPicPr>
                              <pic:blipFill>
                                <a:blip r:embed="rId13"/>
                                <a:stretch>
                                  <a:fillRect/>
                                </a:stretch>
                              </pic:blipFill>
                              <pic:spPr>
                                <a:xfrm>
                                  <a:off x="0" y="0"/>
                                  <a:ext cx="1694815" cy="1109980"/>
                                </a:xfrm>
                                <a:prstGeom prst="rect">
                                  <a:avLst/>
                                </a:prstGeom>
                                <a:noFill/>
                                <a:ln>
                                  <a:noFill/>
                                </a:ln>
                              </pic:spPr>
                            </pic:pic>
                          </a:graphicData>
                        </a:graphic>
                      </wp:inline>
                    </w:drawing>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52" w:hRule="atLeast"/>
              </w:trPr>
              <w:tc>
                <w:tcPr>
                  <w:tcW w:w="5000" w:type="pct"/>
                </w:tcPr>
                <w:p>
                  <w:pPr>
                    <w:jc w:val="left"/>
                    <w:outlineLvl w:val="1"/>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危险废物暂存场所贮存标志</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一、内容要求：</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1、危险废物贮存设施标志应包含三角形警告性图形标志和文字性辅助标志，其中三角形警告性图形标志应符合GB15562.2中的要求。</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2、危险废物贮存设施标志应以醒目的文字标注危险废物设施的类型。</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3、危险废物贮存设施标志还应包含危险废物设施所属的单位名称、设施编码、负责人及联系方式。</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4、危险废物贮存设施标志宜设置二维码，对设施使用情况进行信息化管理。</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二、制作要求</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颜色：危险废物设施标志背景颜色为黄色，RGB颜色值为（255,255,0）。字体和边框颜色为黑色，RGB颜色值为（0,0,0）。</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字体：危险废物设施标志字体应采用黑体字，其中危险废物设施类型的字样应加粗放大并居中显示。</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尺寸：危险废物贮存设施标志的尺寸宜根据其设置位置和对应的观察距离按照下表中的要求设置。</w:t>
                  </w:r>
                </w:p>
                <w:tbl>
                  <w:tblPr>
                    <w:tblStyle w:val="3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
                    <w:gridCol w:w="797"/>
                    <w:gridCol w:w="994"/>
                    <w:gridCol w:w="1000"/>
                    <w:gridCol w:w="1122"/>
                    <w:gridCol w:w="1125"/>
                    <w:gridCol w:w="747"/>
                    <w:gridCol w:w="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1" w:type="dxa"/>
                        <w:vMerge w:val="restart"/>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设置位置</w:t>
                        </w:r>
                      </w:p>
                    </w:tc>
                    <w:tc>
                      <w:tcPr>
                        <w:tcW w:w="700" w:type="dxa"/>
                        <w:vMerge w:val="restart"/>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观察距离L（m）</w:t>
                        </w:r>
                      </w:p>
                    </w:tc>
                    <w:tc>
                      <w:tcPr>
                        <w:tcW w:w="994" w:type="dxa"/>
                        <w:vMerge w:val="restart"/>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标志牌整体外形最小尺寸（mm）</w:t>
                        </w:r>
                      </w:p>
                    </w:tc>
                    <w:tc>
                      <w:tcPr>
                        <w:tcW w:w="3247" w:type="dxa"/>
                        <w:gridSpan w:val="3"/>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三角形警告性标志</w:t>
                        </w:r>
                      </w:p>
                    </w:tc>
                    <w:tc>
                      <w:tcPr>
                        <w:tcW w:w="1403" w:type="dxa"/>
                        <w:gridSpan w:val="2"/>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最低文字高度（mm）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901" w:type="dxa"/>
                        <w:vMerge w:val="continue"/>
                        <w:vAlign w:val="center"/>
                      </w:tcPr>
                      <w:p>
                        <w:pPr>
                          <w:jc w:val="center"/>
                          <w:outlineLvl w:val="1"/>
                          <w:rPr>
                            <w:rFonts w:hint="default" w:ascii="Times New Roman" w:hAnsi="Times New Roman" w:eastAsia="宋体" w:cs="Times New Roman"/>
                            <w:sz w:val="18"/>
                            <w:szCs w:val="18"/>
                          </w:rPr>
                        </w:pPr>
                      </w:p>
                    </w:tc>
                    <w:tc>
                      <w:tcPr>
                        <w:tcW w:w="700" w:type="dxa"/>
                        <w:vMerge w:val="continue"/>
                        <w:vAlign w:val="center"/>
                      </w:tcPr>
                      <w:p>
                        <w:pPr>
                          <w:jc w:val="center"/>
                          <w:outlineLvl w:val="1"/>
                          <w:rPr>
                            <w:rFonts w:hint="default" w:ascii="Times New Roman" w:hAnsi="Times New Roman" w:eastAsia="宋体" w:cs="Times New Roman"/>
                            <w:sz w:val="18"/>
                            <w:szCs w:val="18"/>
                          </w:rPr>
                        </w:pPr>
                      </w:p>
                    </w:tc>
                    <w:tc>
                      <w:tcPr>
                        <w:tcW w:w="994" w:type="dxa"/>
                        <w:vMerge w:val="continue"/>
                        <w:vAlign w:val="center"/>
                      </w:tcPr>
                      <w:p>
                        <w:pPr>
                          <w:jc w:val="center"/>
                          <w:outlineLvl w:val="1"/>
                          <w:rPr>
                            <w:rFonts w:hint="default" w:ascii="Times New Roman" w:hAnsi="Times New Roman" w:eastAsia="宋体" w:cs="Times New Roman"/>
                            <w:sz w:val="18"/>
                            <w:szCs w:val="18"/>
                          </w:rPr>
                        </w:pPr>
                      </w:p>
                    </w:tc>
                    <w:tc>
                      <w:tcPr>
                        <w:tcW w:w="1000"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三角形外边长a</w:t>
                        </w:r>
                        <w:r>
                          <w:rPr>
                            <w:rFonts w:hint="default" w:ascii="Times New Roman" w:hAnsi="Times New Roman" w:eastAsia="宋体" w:cs="Times New Roman"/>
                            <w:sz w:val="18"/>
                            <w:szCs w:val="18"/>
                            <w:vertAlign w:val="subscript"/>
                          </w:rPr>
                          <w:t>1</w:t>
                        </w:r>
                        <w:r>
                          <w:rPr>
                            <w:rFonts w:hint="default" w:ascii="Times New Roman" w:hAnsi="Times New Roman" w:eastAsia="宋体" w:cs="Times New Roman"/>
                            <w:sz w:val="18"/>
                            <w:szCs w:val="18"/>
                          </w:rPr>
                          <w:t>（mm）</w:t>
                        </w:r>
                      </w:p>
                    </w:tc>
                    <w:tc>
                      <w:tcPr>
                        <w:tcW w:w="1122"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三角形内边长a</w:t>
                        </w:r>
                        <w:r>
                          <w:rPr>
                            <w:rFonts w:hint="default" w:ascii="Times New Roman" w:hAnsi="Times New Roman" w:eastAsia="宋体" w:cs="Times New Roman"/>
                            <w:sz w:val="18"/>
                            <w:szCs w:val="18"/>
                            <w:vertAlign w:val="subscript"/>
                          </w:rPr>
                          <w:t>2</w:t>
                        </w:r>
                        <w:r>
                          <w:rPr>
                            <w:rFonts w:hint="default" w:ascii="Times New Roman" w:hAnsi="Times New Roman" w:eastAsia="宋体" w:cs="Times New Roman"/>
                            <w:sz w:val="18"/>
                            <w:szCs w:val="18"/>
                          </w:rPr>
                          <w:t>（mm）</w:t>
                        </w:r>
                      </w:p>
                    </w:tc>
                    <w:tc>
                      <w:tcPr>
                        <w:tcW w:w="112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边框外角圆弧半径（mm）</w:t>
                        </w:r>
                      </w:p>
                    </w:tc>
                    <w:tc>
                      <w:tcPr>
                        <w:tcW w:w="747"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设施类型名称</w:t>
                        </w:r>
                      </w:p>
                    </w:tc>
                    <w:tc>
                      <w:tcPr>
                        <w:tcW w:w="655"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其他文字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1"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露天/室外入口</w:t>
                        </w:r>
                      </w:p>
                    </w:tc>
                    <w:tc>
                      <w:tcPr>
                        <w:tcW w:w="700"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10</w:t>
                        </w:r>
                      </w:p>
                    </w:tc>
                    <w:tc>
                      <w:tcPr>
                        <w:tcW w:w="994"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900×558</w:t>
                        </w:r>
                      </w:p>
                    </w:tc>
                    <w:tc>
                      <w:tcPr>
                        <w:tcW w:w="1000"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500</w:t>
                        </w:r>
                      </w:p>
                    </w:tc>
                    <w:tc>
                      <w:tcPr>
                        <w:tcW w:w="1122"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375</w:t>
                        </w:r>
                      </w:p>
                    </w:tc>
                    <w:tc>
                      <w:tcPr>
                        <w:tcW w:w="1125"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30</w:t>
                        </w:r>
                      </w:p>
                    </w:tc>
                    <w:tc>
                      <w:tcPr>
                        <w:tcW w:w="747"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20</w:t>
                        </w:r>
                      </w:p>
                    </w:tc>
                    <w:tc>
                      <w:tcPr>
                        <w:tcW w:w="655"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01"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室内</w:t>
                        </w:r>
                      </w:p>
                    </w:tc>
                    <w:tc>
                      <w:tcPr>
                        <w:tcW w:w="700"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4&lt;L≤10</w:t>
                        </w:r>
                      </w:p>
                    </w:tc>
                    <w:tc>
                      <w:tcPr>
                        <w:tcW w:w="994"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600×372</w:t>
                        </w:r>
                      </w:p>
                    </w:tc>
                    <w:tc>
                      <w:tcPr>
                        <w:tcW w:w="1000"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300</w:t>
                        </w:r>
                      </w:p>
                    </w:tc>
                    <w:tc>
                      <w:tcPr>
                        <w:tcW w:w="1122"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225</w:t>
                        </w:r>
                      </w:p>
                    </w:tc>
                    <w:tc>
                      <w:tcPr>
                        <w:tcW w:w="1125"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18</w:t>
                        </w:r>
                      </w:p>
                    </w:tc>
                    <w:tc>
                      <w:tcPr>
                        <w:tcW w:w="747"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30</w:t>
                        </w:r>
                      </w:p>
                    </w:tc>
                    <w:tc>
                      <w:tcPr>
                        <w:tcW w:w="655"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901"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室内</w:t>
                        </w:r>
                      </w:p>
                    </w:tc>
                    <w:tc>
                      <w:tcPr>
                        <w:tcW w:w="700"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w:t>
                        </w:r>
                      </w:p>
                    </w:tc>
                    <w:tc>
                      <w:tcPr>
                        <w:tcW w:w="994"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300×186</w:t>
                        </w:r>
                      </w:p>
                    </w:tc>
                    <w:tc>
                      <w:tcPr>
                        <w:tcW w:w="1000"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140</w:t>
                        </w:r>
                      </w:p>
                    </w:tc>
                    <w:tc>
                      <w:tcPr>
                        <w:tcW w:w="1122"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105</w:t>
                        </w:r>
                      </w:p>
                    </w:tc>
                    <w:tc>
                      <w:tcPr>
                        <w:tcW w:w="1125"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8.4</w:t>
                        </w:r>
                      </w:p>
                    </w:tc>
                    <w:tc>
                      <w:tcPr>
                        <w:tcW w:w="747"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40</w:t>
                        </w:r>
                      </w:p>
                    </w:tc>
                    <w:tc>
                      <w:tcPr>
                        <w:tcW w:w="655"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12</w:t>
                        </w:r>
                      </w:p>
                    </w:tc>
                  </w:tr>
                </w:tbl>
                <w:p>
                  <w:pPr>
                    <w:ind w:firstLine="360" w:firstLineChars="200"/>
                    <w:jc w:val="left"/>
                    <w:outlineLvl w:val="1"/>
                    <w:rPr>
                      <w:rFonts w:hint="eastAsia" w:ascii="宋体" w:hAnsi="宋体" w:eastAsia="宋体" w:cs="宋体"/>
                      <w:sz w:val="18"/>
                      <w:szCs w:val="18"/>
                      <w:highlight w:val="none"/>
                    </w:rPr>
                  </w:pPr>
                  <w:r>
                    <w:rPr>
                      <w:rFonts w:hint="eastAsia" w:ascii="宋体" w:hAnsi="宋体" w:eastAsia="宋体" w:cs="宋体"/>
                      <w:sz w:val="18"/>
                      <w:szCs w:val="18"/>
                    </w:rPr>
                    <w:t>材质：危险废物贮存设施标志宜采用坚固耐用的材料（如1.5mm～2mm冷轧钢板），并做搪瓷处理或贴膜处理。一般不宜使用遇水变形、变质或易燃的材料。柱式标志牌的立</w:t>
                  </w:r>
                  <w:r>
                    <w:rPr>
                      <w:rFonts w:hint="eastAsia" w:ascii="宋体" w:hAnsi="宋体" w:eastAsia="宋体" w:cs="宋体"/>
                      <w:sz w:val="18"/>
                      <w:szCs w:val="18"/>
                      <w:highlight w:val="none"/>
                    </w:rPr>
                    <w:t>柱可采用38×4无缝钢管或其他坚固耐用的材料，并经过防腐处理。</w:t>
                  </w:r>
                </w:p>
                <w:p>
                  <w:pPr>
                    <w:ind w:firstLine="360" w:firstLineChars="200"/>
                    <w:jc w:val="left"/>
                    <w:outlineLvl w:val="1"/>
                    <w:rPr>
                      <w:rFonts w:hint="eastAsia" w:ascii="宋体" w:hAnsi="宋体" w:eastAsia="宋体" w:cs="宋体"/>
                      <w:sz w:val="18"/>
                      <w:szCs w:val="18"/>
                    </w:rPr>
                  </w:pPr>
                  <w:r>
                    <w:rPr>
                      <w:rFonts w:hint="eastAsia" w:ascii="宋体" w:hAnsi="宋体" w:eastAsia="宋体" w:cs="宋体"/>
                      <w:sz w:val="18"/>
                      <w:szCs w:val="18"/>
                      <w:highlight w:val="none"/>
                    </w:rPr>
                    <w:t>印刷：图形和文字应清晰、完整，保证在足够的观察距离条件下也不影响阅读。三角形警</w:t>
                  </w:r>
                  <w:r>
                    <w:rPr>
                      <w:rFonts w:hint="eastAsia" w:ascii="宋体" w:hAnsi="宋体" w:eastAsia="宋体" w:cs="宋体"/>
                      <w:sz w:val="18"/>
                      <w:szCs w:val="18"/>
                    </w:rPr>
                    <w:t>告性图形与其他信息间宜加黑色分界线区分，分界线的宽度宜不小于3mm。</w:t>
                  </w:r>
                </w:p>
                <w:p>
                  <w:pPr>
                    <w:ind w:firstLine="360" w:firstLineChars="200"/>
                    <w:jc w:val="left"/>
                    <w:outlineLvl w:val="1"/>
                    <w:rPr>
                      <w:rFonts w:hint="default" w:ascii="Times New Roman" w:hAnsi="Times New Roman" w:eastAsia="宋体" w:cs="Times New Roman"/>
                      <w:color w:val="FF0000"/>
                      <w:sz w:val="21"/>
                      <w:szCs w:val="21"/>
                    </w:rPr>
                  </w:pPr>
                  <w:r>
                    <w:rPr>
                      <w:rFonts w:hint="eastAsia" w:ascii="宋体" w:hAnsi="宋体" w:eastAsia="宋体" w:cs="宋体"/>
                      <w:sz w:val="18"/>
                      <w:szCs w:val="18"/>
                    </w:rPr>
                    <w:t>外观质量要求：危险废物贮存设施的标志牌和立柱无明显变形。标志牌表面无气泡，膜或搪瓷无脱落。图案清晰，色泽一致，没有明显缺损。样式：危险废物贮存设施标志可采用横版或竖版的形式。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05" w:hRule="atLeast"/>
              </w:trPr>
              <w:tc>
                <w:tcPr>
                  <w:tcW w:w="5000" w:type="pct"/>
                </w:tcPr>
                <w:p>
                  <w:pPr>
                    <w:jc w:val="center"/>
                    <w:outlineLvl w:val="1"/>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drawing>
                      <wp:inline distT="0" distB="0" distL="114300" distR="114300">
                        <wp:extent cx="1898015" cy="1186815"/>
                        <wp:effectExtent l="0" t="0" r="6985" b="13335"/>
                        <wp:docPr id="15" name="图片 27" descr="1685797527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7" descr="1685797527035"/>
                                <pic:cNvPicPr>
                                  <a:picLocks noChangeAspect="1"/>
                                </pic:cNvPicPr>
                              </pic:nvPicPr>
                              <pic:blipFill>
                                <a:blip r:embed="rId14"/>
                                <a:stretch>
                                  <a:fillRect/>
                                </a:stretch>
                              </pic:blipFill>
                              <pic:spPr>
                                <a:xfrm>
                                  <a:off x="0" y="0"/>
                                  <a:ext cx="1898015" cy="1186815"/>
                                </a:xfrm>
                                <a:prstGeom prst="rect">
                                  <a:avLst/>
                                </a:prstGeom>
                                <a:noFill/>
                                <a:ln>
                                  <a:noFill/>
                                </a:ln>
                              </pic:spPr>
                            </pic:pic>
                          </a:graphicData>
                        </a:graphic>
                      </wp:inline>
                    </w:drawing>
                  </w:r>
                </w:p>
                <w:p>
                  <w:pPr>
                    <w:jc w:val="center"/>
                    <w:outlineLvl w:val="1"/>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横版危险废物贮存设施标志样式示意图</w:t>
                  </w:r>
                </w:p>
                <w:p>
                  <w:pPr>
                    <w:jc w:val="center"/>
                    <w:outlineLvl w:val="1"/>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drawing>
                      <wp:inline distT="0" distB="0" distL="114300" distR="114300">
                        <wp:extent cx="1128395" cy="1757680"/>
                        <wp:effectExtent l="0" t="0" r="14605" b="13970"/>
                        <wp:docPr id="16" name="图片 28" descr="1685797555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8" descr="1685797555623"/>
                                <pic:cNvPicPr>
                                  <a:picLocks noChangeAspect="1"/>
                                </pic:cNvPicPr>
                              </pic:nvPicPr>
                              <pic:blipFill>
                                <a:blip r:embed="rId15"/>
                                <a:stretch>
                                  <a:fillRect/>
                                </a:stretch>
                              </pic:blipFill>
                              <pic:spPr>
                                <a:xfrm>
                                  <a:off x="0" y="0"/>
                                  <a:ext cx="1128395" cy="1757680"/>
                                </a:xfrm>
                                <a:prstGeom prst="rect">
                                  <a:avLst/>
                                </a:prstGeom>
                                <a:noFill/>
                                <a:ln>
                                  <a:noFill/>
                                </a:ln>
                              </pic:spPr>
                            </pic:pic>
                          </a:graphicData>
                        </a:graphic>
                      </wp:inline>
                    </w:drawing>
                  </w:r>
                </w:p>
                <w:p>
                  <w:pPr>
                    <w:jc w:val="center"/>
                    <w:outlineLvl w:val="1"/>
                    <w:rPr>
                      <w:rFonts w:hint="default" w:ascii="Times New Roman" w:hAnsi="Times New Roman" w:eastAsia="宋体" w:cs="Times New Roman"/>
                      <w:b/>
                      <w:color w:val="FF0000"/>
                      <w:sz w:val="21"/>
                      <w:szCs w:val="21"/>
                    </w:rPr>
                  </w:pPr>
                  <w:r>
                    <w:rPr>
                      <w:rFonts w:hint="default" w:ascii="Times New Roman" w:hAnsi="Times New Roman" w:eastAsia="宋体" w:cs="Times New Roman"/>
                      <w:b/>
                      <w:sz w:val="18"/>
                      <w:szCs w:val="18"/>
                    </w:rPr>
                    <w:t>竖版危险废物贮存设施标志样式示意图</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206" w:hRule="atLeast"/>
              </w:trPr>
              <w:tc>
                <w:tcPr>
                  <w:tcW w:w="5000" w:type="pct"/>
                </w:tcPr>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b/>
                      <w:sz w:val="18"/>
                      <w:szCs w:val="18"/>
                    </w:rPr>
                    <w:t>危险废物暂存场所贮存设施内部分区标志：</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一、内容要求：</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1、危险废物贮存分区标志应以醒目的方式标注“危险废物贮存分区标志”字样。</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2、危险废物贮存分区标志应包含但不限于设施内部所有贮存分区的平面分布、各分区存放的危险废物信息、本贮存分区的具体位置、环境应急物资所在位置以及进出口位置和方向。</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3、危险废物贮存单位可根据自身贮存设施建设情况，在危险废物贮存分区标志中添加收集池、导流沟和通道等信息。</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4、危险废物贮存分区标志的信息应随着设施内废物贮存情况的变化及时调整。</w:t>
                  </w:r>
                </w:p>
                <w:p>
                  <w:pPr>
                    <w:jc w:val="left"/>
                    <w:outlineLvl w:val="1"/>
                    <w:rPr>
                      <w:rFonts w:hint="default" w:ascii="Times New Roman" w:hAnsi="Times New Roman" w:eastAsia="宋体" w:cs="Times New Roman"/>
                      <w:b/>
                      <w:sz w:val="18"/>
                      <w:szCs w:val="18"/>
                    </w:rPr>
                  </w:pPr>
                  <w:r>
                    <w:rPr>
                      <w:rFonts w:hint="default" w:ascii="Times New Roman" w:hAnsi="Times New Roman" w:eastAsia="宋体" w:cs="Times New Roman"/>
                      <w:b/>
                      <w:sz w:val="18"/>
                      <w:szCs w:val="18"/>
                    </w:rPr>
                    <w:t>二、制作要求</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颜色：危险废物分区标志背景色应采用黄色，RGB颜色值为（255,255,0）。废物种类信息应采用醒目的橘黄色，RGB颜色值为（255,150,0）。字体颜色为黑色，RGB颜色值为（0,0,0）。</w:t>
                  </w:r>
                </w:p>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字体：危险废物分区标志的字体宜采用黑体字，其中“危险废物贮存分区标志”字样应加粗放大并居中显示。尺寸：危险废物贮存分区标志的尺寸宜根据对应的观察距离按照下表中的要求设置。</w:t>
                  </w:r>
                </w:p>
                <w:tbl>
                  <w:tblPr>
                    <w:tblStyle w:val="36"/>
                    <w:tblW w:w="7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1921"/>
                    <w:gridCol w:w="1922"/>
                    <w:gridCol w:w="1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921" w:type="dxa"/>
                        <w:vMerge w:val="restart"/>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观察距离L（m）</w:t>
                        </w:r>
                      </w:p>
                    </w:tc>
                    <w:tc>
                      <w:tcPr>
                        <w:tcW w:w="1921" w:type="dxa"/>
                        <w:vMerge w:val="restart"/>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标志整体外形最小尺寸（mm）</w:t>
                        </w:r>
                      </w:p>
                    </w:tc>
                    <w:tc>
                      <w:tcPr>
                        <w:tcW w:w="3845" w:type="dxa"/>
                        <w:gridSpan w:val="2"/>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最低文字高度（mm）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1921" w:type="dxa"/>
                        <w:vMerge w:val="continue"/>
                        <w:vAlign w:val="center"/>
                      </w:tcPr>
                      <w:p>
                        <w:pPr>
                          <w:jc w:val="center"/>
                          <w:outlineLvl w:val="1"/>
                          <w:rPr>
                            <w:rFonts w:hint="default" w:ascii="Times New Roman" w:hAnsi="Times New Roman" w:eastAsia="宋体" w:cs="Times New Roman"/>
                            <w:sz w:val="18"/>
                            <w:szCs w:val="18"/>
                          </w:rPr>
                        </w:pPr>
                      </w:p>
                    </w:tc>
                    <w:tc>
                      <w:tcPr>
                        <w:tcW w:w="1921" w:type="dxa"/>
                        <w:vMerge w:val="continue"/>
                        <w:vAlign w:val="center"/>
                      </w:tcPr>
                      <w:p>
                        <w:pPr>
                          <w:jc w:val="center"/>
                          <w:outlineLvl w:val="1"/>
                          <w:rPr>
                            <w:rFonts w:hint="default" w:ascii="Times New Roman" w:hAnsi="Times New Roman" w:eastAsia="宋体" w:cs="Times New Roman"/>
                            <w:sz w:val="18"/>
                            <w:szCs w:val="18"/>
                          </w:rPr>
                        </w:pPr>
                      </w:p>
                    </w:tc>
                    <w:tc>
                      <w:tcPr>
                        <w:tcW w:w="1922"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贮存分区标志</w:t>
                        </w:r>
                      </w:p>
                    </w:tc>
                    <w:tc>
                      <w:tcPr>
                        <w:tcW w:w="1922"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其他文字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921"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0&lt;L≤2.5</w:t>
                        </w:r>
                      </w:p>
                    </w:tc>
                    <w:tc>
                      <w:tcPr>
                        <w:tcW w:w="1921"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300×300</w:t>
                        </w:r>
                      </w:p>
                    </w:tc>
                    <w:tc>
                      <w:tcPr>
                        <w:tcW w:w="1922"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20</w:t>
                        </w:r>
                      </w:p>
                    </w:tc>
                    <w:tc>
                      <w:tcPr>
                        <w:tcW w:w="1922"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921"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2.5&lt;L≤4</w:t>
                        </w:r>
                      </w:p>
                    </w:tc>
                    <w:tc>
                      <w:tcPr>
                        <w:tcW w:w="1921"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450×450</w:t>
                        </w:r>
                      </w:p>
                    </w:tc>
                    <w:tc>
                      <w:tcPr>
                        <w:tcW w:w="1922"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30</w:t>
                        </w:r>
                      </w:p>
                    </w:tc>
                    <w:tc>
                      <w:tcPr>
                        <w:tcW w:w="1922"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921"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w:t>
                        </w:r>
                      </w:p>
                    </w:tc>
                    <w:tc>
                      <w:tcPr>
                        <w:tcW w:w="1921"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600×600</w:t>
                        </w:r>
                      </w:p>
                    </w:tc>
                    <w:tc>
                      <w:tcPr>
                        <w:tcW w:w="1922"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40</w:t>
                        </w:r>
                      </w:p>
                    </w:tc>
                    <w:tc>
                      <w:tcPr>
                        <w:tcW w:w="1922" w:type="dxa"/>
                        <w:vAlign w:val="center"/>
                      </w:tcPr>
                      <w:p>
                        <w:pPr>
                          <w:jc w:val="center"/>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12</w:t>
                        </w:r>
                      </w:p>
                    </w:tc>
                  </w:tr>
                </w:tbl>
                <w:p>
                  <w:pPr>
                    <w:jc w:val="left"/>
                    <w:outlineLvl w:val="1"/>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材质：危险废物贮存分区标志的衬底宜采用坚固耐用的材料，并具有耐用性和防水性。废物贮存种类信息等可采用印刷纸张、不粘胶材质或塑料卡片等，以便固定在衬底上。</w:t>
                  </w:r>
                </w:p>
                <w:p>
                  <w:pPr>
                    <w:jc w:val="left"/>
                    <w:outlineLvl w:val="1"/>
                    <w:rPr>
                      <w:rFonts w:hint="default" w:ascii="Times New Roman" w:hAnsi="Times New Roman" w:eastAsia="宋体" w:cs="Times New Roman"/>
                      <w:color w:val="FF0000"/>
                      <w:sz w:val="21"/>
                      <w:szCs w:val="21"/>
                    </w:rPr>
                  </w:pPr>
                  <w:r>
                    <w:rPr>
                      <w:rFonts w:hint="default" w:ascii="Times New Roman" w:hAnsi="Times New Roman" w:eastAsia="宋体" w:cs="Times New Roman"/>
                      <w:sz w:val="18"/>
                      <w:szCs w:val="18"/>
                    </w:rPr>
                    <w:t>印刷：危险废物贮存分区标志的衬底宜采用坚固耐用的材料，并具有耐用性和防水性。废物贮存种类信息等可采用印刷纸张、不粘胶材质或塑料卡片等，以便固定在衬底上。</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613" w:hRule="atLeast"/>
              </w:trPr>
              <w:tc>
                <w:tcPr>
                  <w:tcW w:w="5000" w:type="pct"/>
                </w:tcPr>
                <w:p>
                  <w:pPr>
                    <w:jc w:val="center"/>
                    <w:outlineLvl w:val="1"/>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drawing>
                      <wp:inline distT="0" distB="0" distL="114300" distR="114300">
                        <wp:extent cx="2005330" cy="1658620"/>
                        <wp:effectExtent l="0" t="0" r="13970" b="17780"/>
                        <wp:docPr id="17" name="图片 29" descr="1685797857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9" descr="1685797857913"/>
                                <pic:cNvPicPr>
                                  <a:picLocks noChangeAspect="1"/>
                                </pic:cNvPicPr>
                              </pic:nvPicPr>
                              <pic:blipFill>
                                <a:blip r:embed="rId16"/>
                                <a:stretch>
                                  <a:fillRect/>
                                </a:stretch>
                              </pic:blipFill>
                              <pic:spPr>
                                <a:xfrm>
                                  <a:off x="0" y="0"/>
                                  <a:ext cx="2005330" cy="1658620"/>
                                </a:xfrm>
                                <a:prstGeom prst="rect">
                                  <a:avLst/>
                                </a:prstGeom>
                                <a:noFill/>
                                <a:ln>
                                  <a:noFill/>
                                </a:ln>
                              </pic:spPr>
                            </pic:pic>
                          </a:graphicData>
                        </a:graphic>
                      </wp:inline>
                    </w:drawing>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30" w:hRule="atLeast"/>
              </w:trPr>
              <w:tc>
                <w:tcPr>
                  <w:tcW w:w="5000" w:type="pct"/>
                </w:tcPr>
                <w:p>
                  <w:pPr>
                    <w:jc w:val="left"/>
                    <w:outlineLvl w:val="1"/>
                    <w:rPr>
                      <w:rFonts w:hint="eastAsia" w:ascii="宋体" w:hAnsi="宋体" w:eastAsia="宋体" w:cs="宋体"/>
                      <w:b/>
                      <w:sz w:val="18"/>
                      <w:szCs w:val="18"/>
                    </w:rPr>
                  </w:pPr>
                  <w:r>
                    <w:rPr>
                      <w:rFonts w:hint="eastAsia" w:ascii="宋体" w:hAnsi="宋体" w:eastAsia="宋体" w:cs="宋体"/>
                      <w:b/>
                      <w:sz w:val="18"/>
                      <w:szCs w:val="18"/>
                    </w:rPr>
                    <w:t>危险废物标签：</w:t>
                  </w:r>
                </w:p>
                <w:p>
                  <w:pPr>
                    <w:ind w:firstLine="360" w:firstLineChars="200"/>
                    <w:jc w:val="left"/>
                    <w:outlineLvl w:val="1"/>
                    <w:rPr>
                      <w:rFonts w:hint="eastAsia" w:ascii="宋体" w:hAnsi="宋体" w:eastAsia="宋体" w:cs="宋体"/>
                      <w:sz w:val="18"/>
                      <w:szCs w:val="18"/>
                    </w:rPr>
                  </w:pPr>
                  <w:r>
                    <w:rPr>
                      <w:rFonts w:hint="eastAsia" w:ascii="宋体" w:hAnsi="宋体" w:eastAsia="宋体" w:cs="宋体"/>
                      <w:sz w:val="18"/>
                      <w:szCs w:val="18"/>
                    </w:rPr>
                    <w:t>一、内容要求：</w:t>
                  </w:r>
                </w:p>
                <w:p>
                  <w:pPr>
                    <w:ind w:firstLine="360" w:firstLineChars="200"/>
                    <w:jc w:val="left"/>
                    <w:outlineLvl w:val="1"/>
                    <w:rPr>
                      <w:rFonts w:hint="eastAsia" w:ascii="宋体" w:hAnsi="宋体" w:eastAsia="宋体" w:cs="宋体"/>
                      <w:sz w:val="18"/>
                      <w:szCs w:val="18"/>
                    </w:rPr>
                  </w:pPr>
                  <w:r>
                    <w:rPr>
                      <w:rFonts w:hint="eastAsia" w:ascii="宋体" w:hAnsi="宋体" w:eastAsia="宋体" w:cs="宋体"/>
                      <w:sz w:val="18"/>
                      <w:szCs w:val="18"/>
                    </w:rPr>
                    <w:t>1、危险废物标签应以醒目的字样标注“危险废物”。</w:t>
                  </w:r>
                </w:p>
                <w:p>
                  <w:pPr>
                    <w:ind w:firstLine="360" w:firstLineChars="200"/>
                    <w:jc w:val="left"/>
                    <w:outlineLvl w:val="1"/>
                    <w:rPr>
                      <w:rFonts w:hint="eastAsia" w:ascii="宋体" w:hAnsi="宋体" w:eastAsia="宋体" w:cs="宋体"/>
                      <w:sz w:val="18"/>
                      <w:szCs w:val="18"/>
                    </w:rPr>
                  </w:pPr>
                  <w:r>
                    <w:rPr>
                      <w:rFonts w:hint="eastAsia" w:ascii="宋体" w:hAnsi="宋体" w:eastAsia="宋体" w:cs="宋体"/>
                      <w:sz w:val="18"/>
                      <w:szCs w:val="18"/>
                    </w:rPr>
                    <w:t>2、危险废物标签应包含废物名称、废物类别、废物代码、废物形态、危险特性、主要成分、有害成分、注意事项、产生/收集单位名称、联系人、联系方式、产生日期、废物重量和备注。</w:t>
                  </w:r>
                </w:p>
                <w:p>
                  <w:pPr>
                    <w:ind w:firstLine="360" w:firstLineChars="200"/>
                    <w:jc w:val="left"/>
                    <w:outlineLvl w:val="1"/>
                    <w:rPr>
                      <w:rFonts w:hint="eastAsia" w:ascii="宋体" w:hAnsi="宋体" w:eastAsia="宋体" w:cs="宋体"/>
                      <w:sz w:val="18"/>
                      <w:szCs w:val="18"/>
                    </w:rPr>
                  </w:pPr>
                  <w:r>
                    <w:rPr>
                      <w:rFonts w:hint="eastAsia" w:ascii="宋体" w:hAnsi="宋体" w:eastAsia="宋体" w:cs="宋体"/>
                      <w:sz w:val="18"/>
                      <w:szCs w:val="18"/>
                    </w:rPr>
                    <w:t>3、危险废物标签宜设置危险废物数字识别码和二维码。</w:t>
                  </w:r>
                </w:p>
                <w:p>
                  <w:pPr>
                    <w:ind w:firstLine="360" w:firstLineChars="200"/>
                    <w:jc w:val="left"/>
                    <w:outlineLvl w:val="1"/>
                    <w:rPr>
                      <w:rFonts w:hint="eastAsia" w:ascii="宋体" w:hAnsi="宋体" w:eastAsia="宋体" w:cs="宋体"/>
                      <w:sz w:val="18"/>
                      <w:szCs w:val="18"/>
                    </w:rPr>
                  </w:pPr>
                  <w:r>
                    <w:rPr>
                      <w:rFonts w:hint="eastAsia" w:ascii="宋体" w:hAnsi="宋体" w:eastAsia="宋体" w:cs="宋体"/>
                      <w:sz w:val="18"/>
                      <w:szCs w:val="18"/>
                    </w:rPr>
                    <w:t>二、制作要求</w:t>
                  </w:r>
                </w:p>
                <w:p>
                  <w:pPr>
                    <w:ind w:firstLine="360" w:firstLineChars="200"/>
                    <w:jc w:val="left"/>
                    <w:outlineLvl w:val="1"/>
                    <w:rPr>
                      <w:rFonts w:hint="eastAsia" w:ascii="宋体" w:hAnsi="宋体" w:eastAsia="宋体" w:cs="宋体"/>
                      <w:sz w:val="18"/>
                      <w:szCs w:val="18"/>
                    </w:rPr>
                  </w:pPr>
                  <w:r>
                    <w:rPr>
                      <w:rFonts w:hint="eastAsia" w:ascii="宋体" w:hAnsi="宋体" w:eastAsia="宋体" w:cs="宋体"/>
                      <w:sz w:val="18"/>
                      <w:szCs w:val="18"/>
                    </w:rPr>
                    <w:t>颜色：危险废物标签背景色应采用醒目的橘黄色，RGB颜色值为（255,150,0）。标签边框和字体颜色为黑色，RGB颜色值为（0,0,0）。</w:t>
                  </w:r>
                </w:p>
                <w:p>
                  <w:pPr>
                    <w:ind w:firstLine="360" w:firstLineChars="200"/>
                    <w:jc w:val="left"/>
                    <w:outlineLvl w:val="1"/>
                    <w:rPr>
                      <w:rFonts w:hint="eastAsia" w:ascii="宋体" w:hAnsi="宋体" w:eastAsia="宋体" w:cs="宋体"/>
                      <w:sz w:val="18"/>
                      <w:szCs w:val="18"/>
                    </w:rPr>
                  </w:pPr>
                  <w:r>
                    <w:rPr>
                      <w:rFonts w:hint="eastAsia" w:ascii="宋体" w:hAnsi="宋体" w:eastAsia="宋体" w:cs="宋体"/>
                      <w:sz w:val="18"/>
                      <w:szCs w:val="18"/>
                    </w:rPr>
                    <w:t>字体：危险废物标签字体宜采用黑体字，其中“危险废物”字样应加粗放大。</w:t>
                  </w:r>
                </w:p>
                <w:p>
                  <w:pPr>
                    <w:ind w:firstLine="360" w:firstLineChars="200"/>
                    <w:jc w:val="left"/>
                    <w:outlineLvl w:val="1"/>
                    <w:rPr>
                      <w:rFonts w:hint="eastAsia" w:ascii="宋体" w:hAnsi="宋体" w:eastAsia="宋体" w:cs="宋体"/>
                      <w:sz w:val="18"/>
                      <w:szCs w:val="18"/>
                    </w:rPr>
                  </w:pPr>
                  <w:r>
                    <w:rPr>
                      <w:rFonts w:hint="eastAsia" w:ascii="宋体" w:hAnsi="宋体" w:eastAsia="宋体" w:cs="宋体"/>
                      <w:sz w:val="18"/>
                      <w:szCs w:val="18"/>
                    </w:rPr>
                    <w:t>尺寸：危险废物标签的尺寸宜根据容器或包装物的容积按照下表中的要求设置。</w:t>
                  </w:r>
                </w:p>
                <w:tbl>
                  <w:tblPr>
                    <w:tblStyle w:val="36"/>
                    <w:tblW w:w="76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1921"/>
                    <w:gridCol w:w="1922"/>
                    <w:gridCol w:w="1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921" w:type="dxa"/>
                        <w:vAlign w:val="center"/>
                      </w:tcPr>
                      <w:p>
                        <w:pPr>
                          <w:jc w:val="center"/>
                          <w:outlineLvl w:val="1"/>
                          <w:rPr>
                            <w:rFonts w:hint="eastAsia" w:ascii="宋体" w:hAnsi="宋体" w:eastAsia="宋体" w:cs="宋体"/>
                            <w:b/>
                            <w:bCs/>
                            <w:sz w:val="18"/>
                            <w:szCs w:val="18"/>
                          </w:rPr>
                        </w:pPr>
                        <w:r>
                          <w:rPr>
                            <w:rFonts w:hint="eastAsia" w:ascii="宋体" w:hAnsi="宋体" w:eastAsia="宋体" w:cs="宋体"/>
                            <w:b/>
                            <w:bCs/>
                            <w:sz w:val="18"/>
                            <w:szCs w:val="18"/>
                          </w:rPr>
                          <w:t>序号</w:t>
                        </w:r>
                      </w:p>
                    </w:tc>
                    <w:tc>
                      <w:tcPr>
                        <w:tcW w:w="1921" w:type="dxa"/>
                        <w:vAlign w:val="center"/>
                      </w:tcPr>
                      <w:p>
                        <w:pPr>
                          <w:jc w:val="center"/>
                          <w:outlineLvl w:val="1"/>
                          <w:rPr>
                            <w:rFonts w:hint="eastAsia" w:ascii="宋体" w:hAnsi="宋体" w:eastAsia="宋体" w:cs="宋体"/>
                            <w:b/>
                            <w:bCs/>
                            <w:sz w:val="18"/>
                            <w:szCs w:val="18"/>
                          </w:rPr>
                        </w:pPr>
                        <w:r>
                          <w:rPr>
                            <w:rFonts w:hint="eastAsia" w:ascii="宋体" w:hAnsi="宋体" w:eastAsia="宋体" w:cs="宋体"/>
                            <w:b/>
                            <w:bCs/>
                            <w:sz w:val="18"/>
                            <w:szCs w:val="18"/>
                          </w:rPr>
                          <w:t>容器或包装物容积（L）</w:t>
                        </w:r>
                      </w:p>
                    </w:tc>
                    <w:tc>
                      <w:tcPr>
                        <w:tcW w:w="1922" w:type="dxa"/>
                        <w:vAlign w:val="center"/>
                      </w:tcPr>
                      <w:p>
                        <w:pPr>
                          <w:jc w:val="center"/>
                          <w:outlineLvl w:val="1"/>
                          <w:rPr>
                            <w:rFonts w:hint="eastAsia" w:ascii="宋体" w:hAnsi="宋体" w:eastAsia="宋体" w:cs="宋体"/>
                            <w:b/>
                            <w:bCs/>
                            <w:sz w:val="18"/>
                            <w:szCs w:val="18"/>
                          </w:rPr>
                        </w:pPr>
                        <w:r>
                          <w:rPr>
                            <w:rFonts w:hint="eastAsia" w:ascii="宋体" w:hAnsi="宋体" w:eastAsia="宋体" w:cs="宋体"/>
                            <w:b/>
                            <w:bCs/>
                            <w:sz w:val="18"/>
                            <w:szCs w:val="18"/>
                          </w:rPr>
                          <w:t>标签最小尺寸（mm×mm）</w:t>
                        </w:r>
                      </w:p>
                    </w:tc>
                    <w:tc>
                      <w:tcPr>
                        <w:tcW w:w="1922" w:type="dxa"/>
                        <w:vAlign w:val="center"/>
                      </w:tcPr>
                      <w:p>
                        <w:pPr>
                          <w:jc w:val="center"/>
                          <w:outlineLvl w:val="1"/>
                          <w:rPr>
                            <w:rFonts w:hint="eastAsia" w:ascii="宋体" w:hAnsi="宋体" w:eastAsia="宋体" w:cs="宋体"/>
                            <w:b/>
                            <w:bCs/>
                            <w:sz w:val="18"/>
                            <w:szCs w:val="18"/>
                          </w:rPr>
                        </w:pPr>
                        <w:r>
                          <w:rPr>
                            <w:rFonts w:hint="eastAsia" w:ascii="宋体" w:hAnsi="宋体" w:eastAsia="宋体" w:cs="宋体"/>
                            <w:b/>
                            <w:bCs/>
                            <w:sz w:val="18"/>
                            <w:szCs w:val="18"/>
                          </w:rPr>
                          <w:t>最低文字高度（mm）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921" w:type="dxa"/>
                        <w:vAlign w:val="center"/>
                      </w:tcPr>
                      <w:p>
                        <w:pPr>
                          <w:jc w:val="center"/>
                          <w:outlineLvl w:val="1"/>
                          <w:rPr>
                            <w:rFonts w:hint="eastAsia" w:ascii="宋体" w:hAnsi="宋体" w:eastAsia="宋体" w:cs="宋体"/>
                            <w:sz w:val="18"/>
                            <w:szCs w:val="18"/>
                          </w:rPr>
                        </w:pPr>
                        <w:r>
                          <w:rPr>
                            <w:rFonts w:hint="eastAsia" w:ascii="宋体" w:hAnsi="宋体" w:eastAsia="宋体" w:cs="宋体"/>
                            <w:sz w:val="18"/>
                            <w:szCs w:val="18"/>
                          </w:rPr>
                          <w:t>1</w:t>
                        </w:r>
                      </w:p>
                    </w:tc>
                    <w:tc>
                      <w:tcPr>
                        <w:tcW w:w="1921" w:type="dxa"/>
                        <w:vAlign w:val="center"/>
                      </w:tcPr>
                      <w:p>
                        <w:pPr>
                          <w:jc w:val="center"/>
                          <w:outlineLvl w:val="1"/>
                          <w:rPr>
                            <w:rFonts w:hint="eastAsia" w:ascii="宋体" w:hAnsi="宋体" w:eastAsia="宋体" w:cs="宋体"/>
                            <w:sz w:val="18"/>
                            <w:szCs w:val="18"/>
                          </w:rPr>
                        </w:pPr>
                        <w:r>
                          <w:rPr>
                            <w:rFonts w:hint="eastAsia" w:ascii="宋体" w:hAnsi="宋体" w:eastAsia="宋体" w:cs="宋体"/>
                            <w:sz w:val="18"/>
                            <w:szCs w:val="18"/>
                          </w:rPr>
                          <w:t>≤50</w:t>
                        </w:r>
                      </w:p>
                    </w:tc>
                    <w:tc>
                      <w:tcPr>
                        <w:tcW w:w="1922" w:type="dxa"/>
                        <w:vAlign w:val="center"/>
                      </w:tcPr>
                      <w:p>
                        <w:pPr>
                          <w:jc w:val="center"/>
                          <w:outlineLvl w:val="1"/>
                          <w:rPr>
                            <w:rFonts w:hint="eastAsia" w:ascii="宋体" w:hAnsi="宋体" w:eastAsia="宋体" w:cs="宋体"/>
                            <w:sz w:val="18"/>
                            <w:szCs w:val="18"/>
                          </w:rPr>
                        </w:pPr>
                        <w:r>
                          <w:rPr>
                            <w:rFonts w:hint="eastAsia" w:ascii="宋体" w:hAnsi="宋体" w:eastAsia="宋体" w:cs="宋体"/>
                            <w:sz w:val="18"/>
                            <w:szCs w:val="18"/>
                          </w:rPr>
                          <w:t>100×100</w:t>
                        </w:r>
                      </w:p>
                    </w:tc>
                    <w:tc>
                      <w:tcPr>
                        <w:tcW w:w="1922" w:type="dxa"/>
                        <w:vAlign w:val="center"/>
                      </w:tcPr>
                      <w:p>
                        <w:pPr>
                          <w:jc w:val="center"/>
                          <w:outlineLvl w:val="1"/>
                          <w:rPr>
                            <w:rFonts w:hint="eastAsia" w:ascii="宋体" w:hAnsi="宋体" w:eastAsia="宋体" w:cs="宋体"/>
                            <w:sz w:val="18"/>
                            <w:szCs w:val="18"/>
                          </w:rPr>
                        </w:pPr>
                        <w:r>
                          <w:rPr>
                            <w:rFonts w:hint="eastAsia" w:ascii="宋体" w:hAnsi="宋体" w:eastAsia="宋体" w:cs="宋体"/>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921" w:type="dxa"/>
                        <w:vAlign w:val="center"/>
                      </w:tcPr>
                      <w:p>
                        <w:pPr>
                          <w:jc w:val="center"/>
                          <w:outlineLvl w:val="1"/>
                          <w:rPr>
                            <w:rFonts w:hint="eastAsia" w:ascii="宋体" w:hAnsi="宋体" w:eastAsia="宋体" w:cs="宋体"/>
                            <w:sz w:val="18"/>
                            <w:szCs w:val="18"/>
                          </w:rPr>
                        </w:pPr>
                        <w:r>
                          <w:rPr>
                            <w:rFonts w:hint="eastAsia" w:ascii="宋体" w:hAnsi="宋体" w:eastAsia="宋体" w:cs="宋体"/>
                            <w:sz w:val="18"/>
                            <w:szCs w:val="18"/>
                          </w:rPr>
                          <w:t>2</w:t>
                        </w:r>
                      </w:p>
                    </w:tc>
                    <w:tc>
                      <w:tcPr>
                        <w:tcW w:w="1921" w:type="dxa"/>
                        <w:vAlign w:val="center"/>
                      </w:tcPr>
                      <w:p>
                        <w:pPr>
                          <w:jc w:val="center"/>
                          <w:outlineLvl w:val="1"/>
                          <w:rPr>
                            <w:rFonts w:hint="eastAsia" w:ascii="宋体" w:hAnsi="宋体" w:eastAsia="宋体" w:cs="宋体"/>
                            <w:sz w:val="18"/>
                            <w:szCs w:val="18"/>
                          </w:rPr>
                        </w:pPr>
                        <w:r>
                          <w:rPr>
                            <w:rFonts w:hint="eastAsia" w:ascii="宋体" w:hAnsi="宋体" w:eastAsia="宋体" w:cs="宋体"/>
                            <w:sz w:val="18"/>
                            <w:szCs w:val="18"/>
                          </w:rPr>
                          <w:t>50~≤450</w:t>
                        </w:r>
                      </w:p>
                    </w:tc>
                    <w:tc>
                      <w:tcPr>
                        <w:tcW w:w="1922" w:type="dxa"/>
                        <w:vAlign w:val="center"/>
                      </w:tcPr>
                      <w:p>
                        <w:pPr>
                          <w:jc w:val="center"/>
                          <w:outlineLvl w:val="1"/>
                          <w:rPr>
                            <w:rFonts w:hint="eastAsia" w:ascii="宋体" w:hAnsi="宋体" w:eastAsia="宋体" w:cs="宋体"/>
                            <w:sz w:val="18"/>
                            <w:szCs w:val="18"/>
                          </w:rPr>
                        </w:pPr>
                        <w:r>
                          <w:rPr>
                            <w:rFonts w:hint="eastAsia" w:ascii="宋体" w:hAnsi="宋体" w:eastAsia="宋体" w:cs="宋体"/>
                            <w:sz w:val="18"/>
                            <w:szCs w:val="18"/>
                          </w:rPr>
                          <w:t>150×150</w:t>
                        </w:r>
                      </w:p>
                    </w:tc>
                    <w:tc>
                      <w:tcPr>
                        <w:tcW w:w="1922" w:type="dxa"/>
                        <w:vAlign w:val="center"/>
                      </w:tcPr>
                      <w:p>
                        <w:pPr>
                          <w:jc w:val="center"/>
                          <w:outlineLvl w:val="1"/>
                          <w:rPr>
                            <w:rFonts w:hint="eastAsia" w:ascii="宋体" w:hAnsi="宋体" w:eastAsia="宋体" w:cs="宋体"/>
                            <w:sz w:val="18"/>
                            <w:szCs w:val="18"/>
                          </w:rPr>
                        </w:pPr>
                        <w:r>
                          <w:rPr>
                            <w:rFonts w:hint="eastAsia" w:ascii="宋体" w:hAnsi="宋体" w:eastAsia="宋体" w:cs="宋体"/>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921" w:type="dxa"/>
                        <w:vAlign w:val="center"/>
                      </w:tcPr>
                      <w:p>
                        <w:pPr>
                          <w:jc w:val="center"/>
                          <w:outlineLvl w:val="1"/>
                          <w:rPr>
                            <w:rFonts w:hint="eastAsia" w:ascii="宋体" w:hAnsi="宋体" w:eastAsia="宋体" w:cs="宋体"/>
                            <w:sz w:val="18"/>
                            <w:szCs w:val="18"/>
                          </w:rPr>
                        </w:pPr>
                        <w:r>
                          <w:rPr>
                            <w:rFonts w:hint="eastAsia" w:ascii="宋体" w:hAnsi="宋体" w:eastAsia="宋体" w:cs="宋体"/>
                            <w:sz w:val="18"/>
                            <w:szCs w:val="18"/>
                          </w:rPr>
                          <w:t>3</w:t>
                        </w:r>
                      </w:p>
                    </w:tc>
                    <w:tc>
                      <w:tcPr>
                        <w:tcW w:w="1921" w:type="dxa"/>
                        <w:vAlign w:val="center"/>
                      </w:tcPr>
                      <w:p>
                        <w:pPr>
                          <w:jc w:val="center"/>
                          <w:outlineLvl w:val="1"/>
                          <w:rPr>
                            <w:rFonts w:hint="eastAsia" w:ascii="宋体" w:hAnsi="宋体" w:eastAsia="宋体" w:cs="宋体"/>
                            <w:sz w:val="18"/>
                            <w:szCs w:val="18"/>
                          </w:rPr>
                        </w:pPr>
                        <w:r>
                          <w:rPr>
                            <w:rFonts w:hint="eastAsia" w:ascii="宋体" w:hAnsi="宋体" w:eastAsia="宋体" w:cs="宋体"/>
                            <w:sz w:val="18"/>
                            <w:szCs w:val="18"/>
                          </w:rPr>
                          <w:t>450</w:t>
                        </w:r>
                      </w:p>
                    </w:tc>
                    <w:tc>
                      <w:tcPr>
                        <w:tcW w:w="1922" w:type="dxa"/>
                        <w:vAlign w:val="center"/>
                      </w:tcPr>
                      <w:p>
                        <w:pPr>
                          <w:jc w:val="center"/>
                          <w:outlineLvl w:val="1"/>
                          <w:rPr>
                            <w:rFonts w:hint="eastAsia" w:ascii="宋体" w:hAnsi="宋体" w:eastAsia="宋体" w:cs="宋体"/>
                            <w:sz w:val="18"/>
                            <w:szCs w:val="18"/>
                          </w:rPr>
                        </w:pPr>
                        <w:r>
                          <w:rPr>
                            <w:rFonts w:hint="eastAsia" w:ascii="宋体" w:hAnsi="宋体" w:eastAsia="宋体" w:cs="宋体"/>
                            <w:sz w:val="18"/>
                            <w:szCs w:val="18"/>
                          </w:rPr>
                          <w:t>200×200</w:t>
                        </w:r>
                      </w:p>
                    </w:tc>
                    <w:tc>
                      <w:tcPr>
                        <w:tcW w:w="1922" w:type="dxa"/>
                        <w:vAlign w:val="center"/>
                      </w:tcPr>
                      <w:p>
                        <w:pPr>
                          <w:jc w:val="center"/>
                          <w:outlineLvl w:val="1"/>
                          <w:rPr>
                            <w:rFonts w:hint="eastAsia" w:ascii="宋体" w:hAnsi="宋体" w:eastAsia="宋体" w:cs="宋体"/>
                            <w:sz w:val="18"/>
                            <w:szCs w:val="18"/>
                          </w:rPr>
                        </w:pPr>
                        <w:r>
                          <w:rPr>
                            <w:rFonts w:hint="eastAsia" w:ascii="宋体" w:hAnsi="宋体" w:eastAsia="宋体" w:cs="宋体"/>
                            <w:sz w:val="18"/>
                            <w:szCs w:val="18"/>
                          </w:rPr>
                          <w:t>6</w:t>
                        </w:r>
                      </w:p>
                    </w:tc>
                  </w:tr>
                </w:tbl>
                <w:p>
                  <w:pPr>
                    <w:ind w:firstLine="360" w:firstLineChars="200"/>
                    <w:jc w:val="left"/>
                    <w:outlineLvl w:val="1"/>
                    <w:rPr>
                      <w:rFonts w:hint="eastAsia" w:ascii="宋体" w:hAnsi="宋体" w:eastAsia="宋体" w:cs="宋体"/>
                      <w:sz w:val="18"/>
                      <w:szCs w:val="18"/>
                    </w:rPr>
                  </w:pPr>
                  <w:r>
                    <w:rPr>
                      <w:rFonts w:hint="eastAsia" w:ascii="宋体" w:hAnsi="宋体" w:eastAsia="宋体" w:cs="宋体"/>
                      <w:sz w:val="18"/>
                      <w:szCs w:val="18"/>
                    </w:rPr>
                    <w:t>材质：危险废物标签所选用的材质宜具有一定的耐用性和防水性。标签可采用不干胶印刷品，或印刷品外加防水塑料袋或塑封等。</w:t>
                  </w:r>
                </w:p>
                <w:p>
                  <w:pPr>
                    <w:ind w:firstLine="360" w:firstLineChars="200"/>
                    <w:jc w:val="left"/>
                    <w:outlineLvl w:val="1"/>
                    <w:rPr>
                      <w:rFonts w:hint="default" w:ascii="Times New Roman" w:hAnsi="Times New Roman" w:eastAsia="宋体" w:cs="Times New Roman"/>
                      <w:color w:val="FF0000"/>
                      <w:sz w:val="21"/>
                      <w:szCs w:val="21"/>
                    </w:rPr>
                  </w:pPr>
                  <w:r>
                    <w:rPr>
                      <w:rFonts w:hint="eastAsia" w:ascii="宋体" w:hAnsi="宋体" w:eastAsia="宋体" w:cs="宋体"/>
                      <w:sz w:val="18"/>
                      <w:szCs w:val="18"/>
                    </w:rPr>
                    <w:t>印刷：危险废物标签印刷的油墨应均匀，图案和文字应清晰、完整。危险废物标签的文字边缘宜加黑色边框，边框宽度不小于1mm，边框外宜留不小于3mm的空白。</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79" w:hRule="atLeast"/>
              </w:trPr>
              <w:tc>
                <w:tcPr>
                  <w:tcW w:w="5000" w:type="pct"/>
                </w:tcPr>
                <w:p>
                  <w:pPr>
                    <w:jc w:val="center"/>
                    <w:outlineLvl w:val="1"/>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drawing>
                      <wp:inline distT="0" distB="0" distL="114300" distR="114300">
                        <wp:extent cx="1987550" cy="1951990"/>
                        <wp:effectExtent l="0" t="0" r="12700" b="10160"/>
                        <wp:docPr id="18" name="图片 30" descr="168579824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0" descr="1685798242087"/>
                                <pic:cNvPicPr>
                                  <a:picLocks noChangeAspect="1"/>
                                </pic:cNvPicPr>
                              </pic:nvPicPr>
                              <pic:blipFill>
                                <a:blip r:embed="rId17"/>
                                <a:stretch>
                                  <a:fillRect/>
                                </a:stretch>
                              </pic:blipFill>
                              <pic:spPr>
                                <a:xfrm>
                                  <a:off x="0" y="0"/>
                                  <a:ext cx="1987550" cy="1951990"/>
                                </a:xfrm>
                                <a:prstGeom prst="rect">
                                  <a:avLst/>
                                </a:prstGeom>
                                <a:noFill/>
                                <a:ln>
                                  <a:noFill/>
                                </a:ln>
                              </pic:spPr>
                            </pic:pic>
                          </a:graphicData>
                        </a:graphic>
                      </wp:inline>
                    </w:drawing>
                  </w:r>
                </w:p>
              </w:tc>
            </w:tr>
          </w:tbl>
          <w:p>
            <w:pPr>
              <w:spacing w:line="360" w:lineRule="auto"/>
              <w:ind w:firstLine="420" w:firstLineChars="200"/>
              <w:jc w:val="left"/>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危险废物应尽快送往委托单位处理，不宜存放过长时间，确需暂存危险废物应尽快送往委托单位处理，不宜存放过长时间，确需暂存的，应做到以下几点：</w:t>
            </w:r>
          </w:p>
          <w:p>
            <w:pPr>
              <w:spacing w:line="360" w:lineRule="auto"/>
              <w:ind w:firstLine="420" w:firstLineChars="200"/>
              <w:jc w:val="left"/>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a贮存场所应符合GB18597-2023规定的贮存控制标准，有符合要求的专用标志。</w:t>
            </w:r>
          </w:p>
          <w:p>
            <w:pPr>
              <w:spacing w:line="360" w:lineRule="auto"/>
              <w:ind w:firstLine="420" w:firstLineChars="200"/>
              <w:jc w:val="left"/>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b贮存区内禁止混放不相容危险废物。</w:t>
            </w:r>
          </w:p>
          <w:p>
            <w:pPr>
              <w:spacing w:line="360" w:lineRule="auto"/>
              <w:ind w:firstLine="420" w:firstLineChars="200"/>
              <w:jc w:val="left"/>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c贮存区考虑相应的集排水和防渗设施。</w:t>
            </w:r>
          </w:p>
          <w:p>
            <w:pPr>
              <w:spacing w:line="360" w:lineRule="auto"/>
              <w:ind w:firstLine="420" w:firstLineChars="200"/>
              <w:jc w:val="left"/>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d贮存区符合消防要求。</w:t>
            </w:r>
          </w:p>
          <w:p>
            <w:pPr>
              <w:spacing w:line="360" w:lineRule="auto"/>
              <w:ind w:firstLine="420" w:firstLineChars="200"/>
              <w:jc w:val="left"/>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e贮存容器必须有明显标志，具有耐腐蚀、耐压、密封和不与所贮存的废物发生反应等特性。</w:t>
            </w:r>
          </w:p>
          <w:p>
            <w:pPr>
              <w:spacing w:line="360" w:lineRule="auto"/>
              <w:ind w:firstLine="420" w:firstLineChars="200"/>
              <w:jc w:val="left"/>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f基础防渗层为至少1m厚粘土层（渗透系数≤10</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vertAlign w:val="superscript"/>
              </w:rPr>
              <w:t>7</w:t>
            </w:r>
            <w:r>
              <w:rPr>
                <w:rFonts w:hint="default" w:ascii="Times New Roman" w:hAnsi="Times New Roman" w:eastAsia="宋体" w:cs="Times New Roman"/>
                <w:sz w:val="21"/>
                <w:szCs w:val="21"/>
              </w:rPr>
              <w:t>cm/s），或2mm厚高密度聚乙烯，或至少2mm厚的其他人工材料，渗透系数≤10</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vertAlign w:val="superscript"/>
              </w:rPr>
              <w:t>10</w:t>
            </w:r>
            <w:r>
              <w:rPr>
                <w:rFonts w:hint="default" w:ascii="Times New Roman" w:hAnsi="Times New Roman" w:eastAsia="宋体" w:cs="Times New Roman"/>
                <w:sz w:val="21"/>
                <w:szCs w:val="21"/>
              </w:rPr>
              <w:t>cm/s。</w:t>
            </w:r>
          </w:p>
          <w:p>
            <w:pPr>
              <w:spacing w:line="360" w:lineRule="auto"/>
              <w:ind w:firstLine="420" w:firstLineChars="200"/>
              <w:jc w:val="left"/>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目产生的固体废物均暂存于厂区内设置的固废暂存场所，并且定期清运出厂区。废弃物无颗粒物产生，故不会增加大气中的粉尘含量和大气的粉尘污染，不会导致大气的污染。固废禁止直接倾倒入水体中，故不会使项目周围水质受到污染。避免雨水的浸渍和废物本身的分解，不会对附近地区的地下水造成污染。固体废弃物厂内堆存，不会占用大量土地，各类固废场所采用水泥地面硬化，设置顶棚防风、防雨、防晒且分类存放，不会使土壤碱化、酸化、毒化，破坏土壤中微生物的生存条件，影响动植物生长发育。</w:t>
            </w:r>
          </w:p>
          <w:p>
            <w:pPr>
              <w:spacing w:line="360" w:lineRule="auto"/>
              <w:ind w:firstLine="422" w:firstLineChars="200"/>
              <w:jc w:val="left"/>
              <w:outlineLvl w:val="1"/>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C.危险废物运输污染防治措施分析</w:t>
            </w:r>
          </w:p>
          <w:p>
            <w:pPr>
              <w:spacing w:line="360" w:lineRule="auto"/>
              <w:ind w:firstLine="420" w:firstLineChars="200"/>
              <w:jc w:val="left"/>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危险废物运输中应做到以下几点：</w:t>
            </w:r>
          </w:p>
          <w:p>
            <w:pPr>
              <w:spacing w:line="360" w:lineRule="auto"/>
              <w:ind w:firstLine="420" w:firstLineChars="200"/>
              <w:jc w:val="left"/>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a危险废物的运输车辆须经主管单位检查，并持有有关单位签发的许可证，负责运输的司机应通过培训，持有证明文件。</w:t>
            </w:r>
          </w:p>
          <w:p>
            <w:pPr>
              <w:spacing w:line="360" w:lineRule="auto"/>
              <w:ind w:firstLine="420" w:firstLineChars="200"/>
              <w:jc w:val="left"/>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b承载危险废物的车辆须有明显的标志或适当的危险符号，以引起注意。</w:t>
            </w:r>
          </w:p>
          <w:p>
            <w:pPr>
              <w:spacing w:line="360" w:lineRule="auto"/>
              <w:ind w:firstLine="420" w:firstLineChars="200"/>
              <w:jc w:val="left"/>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c载有危险废物的车辆在公路上行驶时，需持有运输许可证，其上应注明废物来源、性质和运往地点。</w:t>
            </w:r>
          </w:p>
          <w:p>
            <w:pPr>
              <w:spacing w:line="360" w:lineRule="auto"/>
              <w:ind w:firstLine="420" w:firstLineChars="200"/>
              <w:jc w:val="left"/>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d组织危险废物的运输单位，在事先需作出周密的运输计划和行驶路线，其中包括有效的废物泄漏情况下的应急措施。</w:t>
            </w:r>
          </w:p>
          <w:p>
            <w:pPr>
              <w:spacing w:line="360" w:lineRule="auto"/>
              <w:ind w:firstLine="420" w:firstLineChars="200"/>
              <w:jc w:val="left"/>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通过该系列措施可保证在运输过程中危险废物对经由地的环境影响较小。</w:t>
            </w:r>
          </w:p>
          <w:p>
            <w:pPr>
              <w:pStyle w:val="141"/>
              <w:keepNext w:val="0"/>
              <w:keepLines w:val="0"/>
              <w:pageBreakBefore w:val="0"/>
              <w:widowControl w:val="0"/>
              <w:numPr>
                <w:ilvl w:val="0"/>
                <w:numId w:val="0"/>
              </w:numPr>
              <w:kinsoku/>
              <w:wordWrap/>
              <w:overflowPunct/>
              <w:topLinePunct w:val="0"/>
              <w:autoSpaceDE/>
              <w:autoSpaceDN/>
              <w:bidi w:val="0"/>
              <w:adjustRightInd w:val="0"/>
              <w:snapToGrid/>
              <w:spacing w:before="120" w:line="360" w:lineRule="auto"/>
              <w:jc w:val="lef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与省生态环境厅关于印发《江苏省固体废物全过程环境监管工作意见》的通知（苏环办〔2024〕16号）相符性分析</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苏州生态环境局关于印发</w:t>
            </w:r>
            <w:r>
              <w:rPr>
                <w:rFonts w:hint="default" w:ascii="Times New Roman" w:hAnsi="Times New Roman" w:eastAsia="宋体" w:cs="Times New Roman"/>
                <w:color w:val="auto"/>
                <w:sz w:val="21"/>
                <w:szCs w:val="21"/>
                <w:highlight w:val="none"/>
              </w:rPr>
              <w:t>《</w:t>
            </w:r>
            <w:r>
              <w:rPr>
                <w:rFonts w:hint="default" w:ascii="Times New Roman" w:hAnsi="Times New Roman" w:eastAsia="宋体" w:cs="Times New Roman"/>
                <w:color w:val="auto"/>
                <w:sz w:val="21"/>
                <w:szCs w:val="21"/>
                <w:highlight w:val="none"/>
                <w:lang w:val="en-US" w:eastAsia="zh-CN"/>
              </w:rPr>
              <w:t>加强工业固体废物全过程环境监管的实施意见</w:t>
            </w:r>
            <w:r>
              <w:rPr>
                <w:rFonts w:hint="default" w:ascii="Times New Roman" w:hAnsi="Times New Roman" w:eastAsia="宋体" w:cs="Times New Roman"/>
                <w:color w:val="auto"/>
                <w:sz w:val="21"/>
                <w:szCs w:val="21"/>
                <w:highlight w:val="none"/>
              </w:rPr>
              <w:t>》</w:t>
            </w:r>
            <w:r>
              <w:rPr>
                <w:rFonts w:hint="default" w:ascii="Times New Roman" w:hAnsi="Times New Roman" w:eastAsia="宋体" w:cs="Times New Roman"/>
                <w:color w:val="auto"/>
                <w:sz w:val="21"/>
                <w:szCs w:val="21"/>
                <w:highlight w:val="none"/>
                <w:lang w:val="en-US" w:eastAsia="zh-CN"/>
              </w:rPr>
              <w:t>的通知（苏环办字</w:t>
            </w:r>
            <w:r>
              <w:rPr>
                <w:rFonts w:hint="default" w:ascii="Times New Roman" w:hAnsi="Times New Roman" w:eastAsia="宋体" w:cs="Times New Roman"/>
                <w:color w:val="auto"/>
                <w:sz w:val="21"/>
                <w:szCs w:val="21"/>
                <w:highlight w:val="none"/>
              </w:rPr>
              <w:t>〔20</w:t>
            </w:r>
            <w:r>
              <w:rPr>
                <w:rFonts w:hint="default" w:ascii="Times New Roman" w:hAnsi="Times New Roman" w:eastAsia="宋体" w:cs="Times New Roman"/>
                <w:color w:val="auto"/>
                <w:sz w:val="21"/>
                <w:szCs w:val="21"/>
                <w:highlight w:val="none"/>
                <w:lang w:val="en-US" w:eastAsia="zh-CN"/>
              </w:rPr>
              <w:t>24</w:t>
            </w:r>
            <w:r>
              <w:rPr>
                <w:rFonts w:hint="default" w:ascii="Times New Roman" w:hAnsi="Times New Roman" w:eastAsia="宋体" w:cs="Times New Roman"/>
                <w:color w:val="auto"/>
                <w:sz w:val="21"/>
                <w:szCs w:val="21"/>
                <w:highlight w:val="none"/>
              </w:rPr>
              <w:t>〕</w:t>
            </w:r>
            <w:r>
              <w:rPr>
                <w:rFonts w:hint="default" w:ascii="Times New Roman" w:hAnsi="Times New Roman" w:eastAsia="宋体" w:cs="Times New Roman"/>
                <w:color w:val="auto"/>
                <w:sz w:val="21"/>
                <w:szCs w:val="21"/>
                <w:highlight w:val="none"/>
                <w:lang w:val="en-US" w:eastAsia="zh-CN"/>
              </w:rPr>
              <w:t>71</w:t>
            </w:r>
            <w:r>
              <w:rPr>
                <w:rFonts w:hint="default" w:ascii="Times New Roman" w:hAnsi="Times New Roman" w:eastAsia="宋体" w:cs="Times New Roman"/>
                <w:color w:val="auto"/>
                <w:sz w:val="21"/>
                <w:szCs w:val="21"/>
                <w:highlight w:val="none"/>
              </w:rPr>
              <w:t>号</w:t>
            </w:r>
            <w:r>
              <w:rPr>
                <w:rFonts w:hint="default" w:ascii="Times New Roman" w:hAnsi="Times New Roman" w:eastAsia="宋体" w:cs="Times New Roman"/>
                <w:color w:val="auto"/>
                <w:sz w:val="21"/>
                <w:szCs w:val="21"/>
                <w:highlight w:val="none"/>
                <w:lang w:val="en-US" w:eastAsia="zh-CN"/>
              </w:rPr>
              <w:t>）。</w:t>
            </w:r>
          </w:p>
          <w:p>
            <w:pPr>
              <w:spacing w:line="360" w:lineRule="auto"/>
              <w:jc w:val="center"/>
              <w:outlineLvl w:val="1"/>
              <w:rPr>
                <w:rFonts w:hint="default" w:ascii="Times New Roman" w:hAnsi="Times New Roman" w:eastAsia="宋体" w:cs="Times New Roman"/>
                <w:b/>
                <w:bCs/>
                <w:sz w:val="21"/>
                <w:szCs w:val="21"/>
                <w:highlight w:val="none"/>
              </w:rPr>
            </w:pPr>
            <w:r>
              <w:rPr>
                <w:rFonts w:hint="default" w:ascii="Times New Roman" w:hAnsi="Times New Roman" w:eastAsia="宋体" w:cs="Times New Roman"/>
                <w:b/>
                <w:bCs/>
                <w:sz w:val="21"/>
                <w:szCs w:val="21"/>
                <w:highlight w:val="none"/>
              </w:rPr>
              <w:t>表4-</w:t>
            </w:r>
            <w:r>
              <w:rPr>
                <w:rFonts w:hint="default" w:ascii="Times New Roman" w:hAnsi="Times New Roman" w:eastAsia="宋体" w:cs="Times New Roman"/>
                <w:b/>
                <w:bCs/>
                <w:sz w:val="21"/>
                <w:szCs w:val="21"/>
                <w:highlight w:val="none"/>
                <w:lang w:val="en-US" w:eastAsia="zh-CN"/>
              </w:rPr>
              <w:t>15</w:t>
            </w:r>
            <w:r>
              <w:rPr>
                <w:rFonts w:hint="default" w:ascii="Times New Roman" w:hAnsi="Times New Roman" w:eastAsia="宋体" w:cs="Times New Roman"/>
                <w:b/>
                <w:bCs/>
                <w:sz w:val="21"/>
                <w:szCs w:val="21"/>
                <w:highlight w:val="none"/>
              </w:rPr>
              <w:t>与苏环办〔2024〕16号</w:t>
            </w:r>
            <w:r>
              <w:rPr>
                <w:rFonts w:hint="default" w:ascii="Times New Roman" w:hAnsi="Times New Roman" w:eastAsia="宋体" w:cs="Times New Roman"/>
                <w:b/>
                <w:bCs/>
                <w:sz w:val="21"/>
                <w:szCs w:val="21"/>
                <w:highlight w:val="none"/>
                <w:lang w:eastAsia="zh-CN"/>
              </w:rPr>
              <w:t>、</w:t>
            </w:r>
            <w:r>
              <w:rPr>
                <w:rFonts w:hint="default" w:ascii="Times New Roman" w:hAnsi="Times New Roman" w:eastAsia="宋体" w:cs="Times New Roman"/>
                <w:b/>
                <w:bCs/>
                <w:sz w:val="21"/>
                <w:szCs w:val="21"/>
                <w:highlight w:val="none"/>
              </w:rPr>
              <w:t>苏环办</w:t>
            </w:r>
            <w:r>
              <w:rPr>
                <w:rFonts w:hint="default" w:ascii="Times New Roman" w:hAnsi="Times New Roman" w:eastAsia="宋体" w:cs="Times New Roman"/>
                <w:b/>
                <w:bCs/>
                <w:sz w:val="21"/>
                <w:szCs w:val="21"/>
                <w:highlight w:val="none"/>
                <w:lang w:val="en-US" w:eastAsia="zh-CN"/>
              </w:rPr>
              <w:t>字</w:t>
            </w:r>
            <w:r>
              <w:rPr>
                <w:rFonts w:hint="default" w:ascii="Times New Roman" w:hAnsi="Times New Roman" w:eastAsia="宋体" w:cs="Times New Roman"/>
                <w:b/>
                <w:bCs/>
                <w:sz w:val="21"/>
                <w:szCs w:val="21"/>
                <w:highlight w:val="none"/>
              </w:rPr>
              <w:t>〔2024〕</w:t>
            </w:r>
            <w:r>
              <w:rPr>
                <w:rFonts w:hint="default" w:ascii="Times New Roman" w:hAnsi="Times New Roman" w:eastAsia="宋体" w:cs="Times New Roman"/>
                <w:b/>
                <w:bCs/>
                <w:sz w:val="21"/>
                <w:szCs w:val="21"/>
                <w:highlight w:val="none"/>
                <w:lang w:val="en-US" w:eastAsia="zh-CN"/>
              </w:rPr>
              <w:t>71</w:t>
            </w:r>
            <w:r>
              <w:rPr>
                <w:rFonts w:hint="default" w:ascii="Times New Roman" w:hAnsi="Times New Roman" w:eastAsia="宋体" w:cs="Times New Roman"/>
                <w:b/>
                <w:bCs/>
                <w:sz w:val="21"/>
                <w:szCs w:val="21"/>
                <w:highlight w:val="none"/>
              </w:rPr>
              <w:t>号相符性分析</w:t>
            </w:r>
          </w:p>
          <w:tbl>
            <w:tblPr>
              <w:tblStyle w:val="3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4486"/>
              <w:gridCol w:w="2851"/>
              <w:gridCol w:w="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410" w:type="pct"/>
                  <w:noWrap w:val="0"/>
                  <w:vAlign w:val="center"/>
                </w:tcPr>
                <w:p>
                  <w:pPr>
                    <w:spacing w:line="360" w:lineRule="auto"/>
                    <w:jc w:val="center"/>
                    <w:rPr>
                      <w:rFonts w:hint="default" w:ascii="Times New Roman" w:hAnsi="Times New Roman" w:eastAsia="宋体" w:cs="Times New Roman"/>
                      <w:b/>
                      <w:bCs/>
                      <w:sz w:val="18"/>
                      <w:szCs w:val="18"/>
                      <w:highlight w:val="none"/>
                    </w:rPr>
                  </w:pPr>
                  <w:r>
                    <w:rPr>
                      <w:rFonts w:hint="default" w:ascii="Times New Roman" w:hAnsi="Times New Roman" w:eastAsia="宋体" w:cs="Times New Roman"/>
                      <w:b/>
                      <w:bCs/>
                      <w:sz w:val="18"/>
                      <w:szCs w:val="18"/>
                      <w:highlight w:val="none"/>
                    </w:rPr>
                    <w:t>序号</w:t>
                  </w:r>
                </w:p>
              </w:tc>
              <w:tc>
                <w:tcPr>
                  <w:tcW w:w="2532" w:type="pct"/>
                  <w:noWrap w:val="0"/>
                  <w:vAlign w:val="center"/>
                </w:tcPr>
                <w:p>
                  <w:pPr>
                    <w:spacing w:line="360" w:lineRule="auto"/>
                    <w:jc w:val="center"/>
                    <w:rPr>
                      <w:rFonts w:hint="default" w:ascii="Times New Roman" w:hAnsi="Times New Roman" w:eastAsia="宋体" w:cs="Times New Roman"/>
                      <w:b/>
                      <w:bCs/>
                      <w:sz w:val="18"/>
                      <w:szCs w:val="18"/>
                      <w:highlight w:val="none"/>
                    </w:rPr>
                  </w:pPr>
                  <w:r>
                    <w:rPr>
                      <w:rFonts w:hint="default" w:ascii="Times New Roman" w:hAnsi="Times New Roman" w:eastAsia="宋体" w:cs="Times New Roman"/>
                      <w:b/>
                      <w:bCs/>
                      <w:sz w:val="18"/>
                      <w:szCs w:val="18"/>
                      <w:highlight w:val="none"/>
                    </w:rPr>
                    <w:t>文件规定要求</w:t>
                  </w:r>
                </w:p>
              </w:tc>
              <w:tc>
                <w:tcPr>
                  <w:tcW w:w="1609" w:type="pct"/>
                  <w:noWrap w:val="0"/>
                  <w:vAlign w:val="center"/>
                </w:tcPr>
                <w:p>
                  <w:pPr>
                    <w:spacing w:line="360" w:lineRule="auto"/>
                    <w:jc w:val="center"/>
                    <w:rPr>
                      <w:rFonts w:hint="default" w:ascii="Times New Roman" w:hAnsi="Times New Roman" w:eastAsia="宋体" w:cs="Times New Roman"/>
                      <w:b/>
                      <w:bCs/>
                      <w:sz w:val="18"/>
                      <w:szCs w:val="18"/>
                      <w:highlight w:val="none"/>
                    </w:rPr>
                  </w:pPr>
                  <w:r>
                    <w:rPr>
                      <w:rFonts w:hint="default" w:ascii="Times New Roman" w:hAnsi="Times New Roman" w:eastAsia="宋体" w:cs="Times New Roman"/>
                      <w:b/>
                      <w:bCs/>
                      <w:sz w:val="18"/>
                      <w:szCs w:val="18"/>
                      <w:highlight w:val="none"/>
                    </w:rPr>
                    <w:t>拟实施情况</w:t>
                  </w:r>
                </w:p>
              </w:tc>
              <w:tc>
                <w:tcPr>
                  <w:tcW w:w="448" w:type="pct"/>
                  <w:noWrap w:val="0"/>
                  <w:vAlign w:val="center"/>
                </w:tcPr>
                <w:p>
                  <w:pPr>
                    <w:spacing w:line="360" w:lineRule="auto"/>
                    <w:jc w:val="center"/>
                    <w:rPr>
                      <w:rFonts w:hint="default" w:ascii="Times New Roman" w:hAnsi="Times New Roman" w:eastAsia="宋体" w:cs="Times New Roman"/>
                      <w:b/>
                      <w:bCs/>
                      <w:sz w:val="18"/>
                      <w:szCs w:val="18"/>
                      <w:highlight w:val="none"/>
                    </w:rPr>
                  </w:pPr>
                  <w:r>
                    <w:rPr>
                      <w:rFonts w:hint="default" w:ascii="Times New Roman" w:hAnsi="Times New Roman" w:eastAsia="宋体" w:cs="Times New Roman"/>
                      <w:b/>
                      <w:bCs/>
                      <w:sz w:val="18"/>
                      <w:szCs w:val="1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0" w:type="pct"/>
                  <w:noWrap w:val="0"/>
                  <w:vAlign w:val="center"/>
                </w:tcPr>
                <w:p>
                  <w:pPr>
                    <w:spacing w:line="360" w:lineRule="auto"/>
                    <w:jc w:val="left"/>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1</w:t>
                  </w:r>
                </w:p>
              </w:tc>
              <w:tc>
                <w:tcPr>
                  <w:tcW w:w="2532" w:type="pct"/>
                  <w:noWrap w:val="0"/>
                  <w:vAlign w:val="center"/>
                </w:tcPr>
                <w:p>
                  <w:pPr>
                    <w:spacing w:line="360" w:lineRule="auto"/>
                    <w:jc w:val="left"/>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lang w:val="en-US" w:eastAsia="zh-CN"/>
                    </w:rPr>
                    <w:t>指导化工园区对本区域内固体废物产生种类、数量及其利用处置方式进行详细分析，明确源头减量总体目标、具体措施，以及补齐区域利用处置能力短板的建设项目，适时将相关信息纳入规划环评，力争实现区域内固体废物就近利用处置。</w:t>
                  </w:r>
                </w:p>
              </w:tc>
              <w:tc>
                <w:tcPr>
                  <w:tcW w:w="1609" w:type="pct"/>
                  <w:noWrap w:val="0"/>
                  <w:vAlign w:val="center"/>
                </w:tcPr>
                <w:p>
                  <w:pPr>
                    <w:spacing w:line="360" w:lineRule="auto"/>
                    <w:jc w:val="left"/>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rPr>
                    <w:t>已对本项目可能产生的危险废物种类、数量</w:t>
                  </w:r>
                  <w:r>
                    <w:rPr>
                      <w:rFonts w:hint="default" w:ascii="Times New Roman" w:hAnsi="Times New Roman" w:eastAsia="宋体" w:cs="Times New Roman"/>
                      <w:sz w:val="18"/>
                      <w:szCs w:val="18"/>
                      <w:highlight w:val="none"/>
                      <w:lang w:val="en-US" w:eastAsia="zh-CN"/>
                    </w:rPr>
                    <w:t>及其利用处置方式进行详细分析，严格落实规划环评要求，力争实现区域内固体废物就近利用处置。</w:t>
                  </w:r>
                </w:p>
              </w:tc>
              <w:tc>
                <w:tcPr>
                  <w:tcW w:w="448" w:type="pct"/>
                  <w:noWrap w:val="0"/>
                  <w:vAlign w:val="center"/>
                </w:tcPr>
                <w:p>
                  <w:pPr>
                    <w:spacing w:line="360" w:lineRule="auto"/>
                    <w:jc w:val="left"/>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0" w:type="pct"/>
                  <w:noWrap w:val="0"/>
                  <w:vAlign w:val="center"/>
                </w:tcPr>
                <w:p>
                  <w:pPr>
                    <w:spacing w:line="360" w:lineRule="auto"/>
                    <w:jc w:val="left"/>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2</w:t>
                  </w:r>
                </w:p>
              </w:tc>
              <w:tc>
                <w:tcPr>
                  <w:tcW w:w="2532" w:type="pct"/>
                  <w:noWrap w:val="0"/>
                  <w:vAlign w:val="center"/>
                </w:tcPr>
                <w:p>
                  <w:pPr>
                    <w:spacing w:line="360" w:lineRule="auto"/>
                    <w:jc w:val="left"/>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建设项目环评要将产生固体废物种类、数量、来源和属性，论述贮存、转移和利用处置方式合规性、合理性纳入评价范围，提出切实可行的污染防治对策措施。所有产物要按照以下五类属性给予明确并规范表述：目标产物（产品、副产品）、鉴别属于产品（符合国家、地方或行业标准）、可定向用于特定用途按产品管理（如符合团体标准）、一般固体废物和危险废物。不得将不符合《固体废物鉴别标准通则》(GB34330-2017）和《固体废物再生利用污染防治技术导则》(HJ1091-2020）等标准的产物认定为“再生产品”，不得出现“中间产物”“再生产物”等不规范表述，严禁以“副产品”名义逃避监管。不能排除危险特性的固体废物，须在环评文件中明确鉴别要求，鉴别前按危险废物管理，鉴别后根据结论按一般固废或危险废物管理。落实省厅危险废物经营单位项目环评审批要点与危险废物经营许可审查要求衔接的相关要求。</w:t>
                  </w:r>
                </w:p>
              </w:tc>
              <w:tc>
                <w:tcPr>
                  <w:tcW w:w="1609" w:type="pct"/>
                  <w:noWrap w:val="0"/>
                  <w:vAlign w:val="center"/>
                </w:tcPr>
                <w:p>
                  <w:pPr>
                    <w:spacing w:line="360" w:lineRule="auto"/>
                    <w:jc w:val="left"/>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已对本项目可能产生的危险废物种类、数量、属性、贮存设施、利用或处置方式进行了分析描述</w:t>
                  </w:r>
                </w:p>
              </w:tc>
              <w:tc>
                <w:tcPr>
                  <w:tcW w:w="448" w:type="pct"/>
                  <w:noWrap w:val="0"/>
                  <w:vAlign w:val="center"/>
                </w:tcPr>
                <w:p>
                  <w:pPr>
                    <w:spacing w:line="360" w:lineRule="auto"/>
                    <w:jc w:val="left"/>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410"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w:t>
                  </w:r>
                </w:p>
              </w:tc>
              <w:tc>
                <w:tcPr>
                  <w:tcW w:w="2532"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企业要在排污许可管理系统中全面、准确申报工业固体废物产生种类，以及贮存设施和利用处置等相关情况，并对其真实性负责。实际产生、转移、贮存和利用处置情况对照项目环评发生变动的，要根据变动情况及时采取重新报批环评、纳入环境保护竣工验收等手续，并依法及时变更排污许可。</w:t>
                  </w:r>
                </w:p>
              </w:tc>
              <w:tc>
                <w:tcPr>
                  <w:tcW w:w="1609"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待项目建成后，企业将在排污许可管理系统中全面、准确申报工业固体废物产生种类，以及贮存设施和利用处置等相关情况，并对其真实性负责。实际产生、转移、贮存和利用处置情况对照项目环评发生变动的，要根据变动情况及时采取重新报批环评、纳入环境保护竣工验收等手续，并及时变更排污许可。</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410"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w:t>
                  </w:r>
                </w:p>
              </w:tc>
              <w:tc>
                <w:tcPr>
                  <w:tcW w:w="2532"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核准危险废物经营许可时，应当符合经营单位建设项目环评和排污许可要求，并重点审查经营单位分析检测能力、贮存管理和产物去向等情况。许可证上应载明核准利用处置的危险废物类别并附带相应文字说明，许可条件中应明确违反后需采取的相应惩戒措施。</w:t>
                  </w:r>
                </w:p>
              </w:tc>
              <w:tc>
                <w:tcPr>
                  <w:tcW w:w="1609"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待企业项目建成后</w:t>
                  </w:r>
                  <w:r>
                    <w:rPr>
                      <w:rFonts w:hint="default" w:ascii="Times New Roman" w:hAnsi="Times New Roman" w:eastAsia="宋体" w:cs="Times New Roman"/>
                      <w:sz w:val="18"/>
                      <w:szCs w:val="18"/>
                      <w:lang w:val="en-US" w:eastAsia="zh-CN"/>
                    </w:rPr>
                    <w:t>将严格按照经营单位建设项目环评和排污许可要求，并重点审查经营单位分析检测能力、贮存管理和产物去向等情况。</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atLeast"/>
              </w:trPr>
              <w:tc>
                <w:tcPr>
                  <w:tcW w:w="410"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w:t>
                  </w:r>
                </w:p>
              </w:tc>
              <w:tc>
                <w:tcPr>
                  <w:tcW w:w="2532"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市生态环境局要定期发布全市固体废物产生种类、数量及利用处置能力等相关信息，对部分重点固体废物产生和利用处置能力匹配情况进行分析，推动精准补齐能力短板，稳步推进“趋零填埋”。根据省生态环境厅发布的鼓励类、限制类危险废物利用处置技术目录，科学引导社会资本理性投资，不断提高行业利用处置先进性水平。</w:t>
                  </w:r>
                </w:p>
              </w:tc>
              <w:tc>
                <w:tcPr>
                  <w:tcW w:w="1609"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待企业项目建成后将严格按照</w:t>
                  </w:r>
                  <w:r>
                    <w:rPr>
                      <w:rFonts w:hint="default" w:ascii="Times New Roman" w:hAnsi="Times New Roman" w:eastAsia="宋体" w:cs="Times New Roman"/>
                      <w:sz w:val="18"/>
                      <w:szCs w:val="18"/>
                      <w:lang w:val="en-US" w:eastAsia="zh-CN"/>
                    </w:rPr>
                    <w:t>对部分重点固体废物产生和利用处置能力匹配情况进行分析，推动精准补齐能力短板，稳步推进“趋零填埋”。</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9" w:hRule="atLeast"/>
              </w:trPr>
              <w:tc>
                <w:tcPr>
                  <w:tcW w:w="410"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w:t>
                  </w:r>
                </w:p>
              </w:tc>
              <w:tc>
                <w:tcPr>
                  <w:tcW w:w="2532" w:type="pct"/>
                  <w:noWrap w:val="0"/>
                  <w:vAlign w:val="center"/>
                </w:tcPr>
                <w:p>
                  <w:pPr>
                    <w:keepNext w:val="0"/>
                    <w:keepLines w:val="0"/>
                    <w:pageBreakBefore w:val="0"/>
                    <w:widowControl w:val="0"/>
                    <w:kinsoku/>
                    <w:wordWrap w:val="0"/>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根据《危险废物贮存污染控制标准》(GB18597—2023)，企业可根据实际情况选择采用危险废物贮存设施或贮存点两类方式进行贮存，符合相应的污染控制标准；不具备建设贮存设施条件、选用贮存点方式的，除符合国家关于贮存点控制要求外，还要执行《江苏省危险废物集中收集体系建设工作方案（试行）》（苏环办〔2021〕290号）中关于贮存周期和贮存量的要求，I级、Ⅱ级、Ⅲ级危险废物贮存时间分别不得超过30天、60天、90天，最大贮存量不得超过1吨。</w:t>
                  </w:r>
                </w:p>
              </w:tc>
              <w:tc>
                <w:tcPr>
                  <w:tcW w:w="1609" w:type="pct"/>
                  <w:noWrap w:val="0"/>
                  <w:vAlign w:val="center"/>
                </w:tcPr>
                <w:p>
                  <w:pPr>
                    <w:spacing w:line="360" w:lineRule="auto"/>
                    <w:jc w:val="left"/>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rPr>
                    <w:t>本项目危废贮存库已采取防雨、防火、扬散、防渗漏等措施</w:t>
                  </w:r>
                  <w:r>
                    <w:rPr>
                      <w:rFonts w:hint="default" w:ascii="Times New Roman" w:hAnsi="Times New Roman" w:eastAsia="宋体" w:cs="Times New Roman"/>
                      <w:sz w:val="18"/>
                      <w:szCs w:val="18"/>
                      <w:lang w:eastAsia="zh-CN"/>
                    </w:rPr>
                    <w:t>。</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1" w:hRule="atLeast"/>
              </w:trPr>
              <w:tc>
                <w:tcPr>
                  <w:tcW w:w="410"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7</w:t>
                  </w:r>
                </w:p>
              </w:tc>
              <w:tc>
                <w:tcPr>
                  <w:tcW w:w="2532"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各地要规范辖区内小微收集体系运行，杜绝“无人收”和“无序收”现象，并综合考虑区域小微产废单位实际和现有集中收集单位运营状况，避免收集点重复投资建设。督促小微收集单位履行协助危险废物环境管理延伸服务的职责，充分发挥“网格化+铁脚板”作用，主动上门对辖区内实验室废物和小微产废单位全面系统排查，发现未报漏报企业以及非法收集处置等违法行为，及时报告属地生态环境部门。属地生态环境部门要督促企业依法申报、限期整改，并联合公安机关严厉打击非法收集处置等违法行为。对存在未按规定频次收集、选择性收集等未按要求开展试点工作的小微收集单位，依法依规予以处理，直至取消收集试点资格。</w:t>
                  </w:r>
                </w:p>
              </w:tc>
              <w:tc>
                <w:tcPr>
                  <w:tcW w:w="1609"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待企业项目建成后将严格按照</w:t>
                  </w:r>
                  <w:r>
                    <w:rPr>
                      <w:rFonts w:hint="default" w:ascii="Times New Roman" w:hAnsi="Times New Roman" w:eastAsia="宋体" w:cs="Times New Roman"/>
                      <w:sz w:val="18"/>
                      <w:szCs w:val="18"/>
                      <w:lang w:val="en-US" w:eastAsia="zh-CN"/>
                    </w:rPr>
                    <w:t>辖区内小微收集体系运行，杜绝“无人收”和“无序收”现象。</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3" w:hRule="atLeast"/>
              </w:trPr>
              <w:tc>
                <w:tcPr>
                  <w:tcW w:w="410"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8</w:t>
                  </w:r>
                </w:p>
              </w:tc>
              <w:tc>
                <w:tcPr>
                  <w:tcW w:w="2532"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全面落实危险废物转移电子联单制度，实行全域扫描“二维码”转移。危险废物产生单位须依法核实经营单位主体资格和技术能力，直接签订委托合同，并向经营单位提供相关危险废物产生工艺、具体成分，以及是否易燃易爆等信息，违法委托的，应当与造成环境污染和生态破坏的受托方承担连带责任；经营单位须按合同及包装物扫码签收危险废物，签收人、车辆信息等须拍照上传至系统，严禁“空转”二维码。积极推行一般工业固体废物电子转运联单制度，优先选择环境风险较大的污泥、矿渣等固体废物试行。</w:t>
                  </w:r>
                </w:p>
              </w:tc>
              <w:tc>
                <w:tcPr>
                  <w:tcW w:w="1609"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待企业项目建成后将严格落实危废废物转移电子联单制度，实行省内全域扫描“二维码”转移。加强与危险货物道路运输电子运单数据共享，实现运输轨迹可溯可查。危险废物产生单位须依法核实经营单位主体资格和技术能力，直接签订委托合同，并向</w:t>
                  </w:r>
                  <w:r>
                    <w:rPr>
                      <w:rFonts w:hint="default" w:ascii="Times New Roman" w:hAnsi="Times New Roman" w:eastAsia="宋体" w:cs="Times New Roman"/>
                      <w:sz w:val="18"/>
                      <w:szCs w:val="18"/>
                      <w:lang w:eastAsia="zh-CN"/>
                    </w:rPr>
                    <w:t>经营单位</w:t>
                  </w:r>
                  <w:r>
                    <w:rPr>
                      <w:rFonts w:hint="default" w:ascii="Times New Roman" w:hAnsi="Times New Roman" w:eastAsia="宋体" w:cs="Times New Roman"/>
                      <w:sz w:val="18"/>
                      <w:szCs w:val="18"/>
                    </w:rPr>
                    <w:t>提供相关危险废物产生工艺、具体成分，以及是否易燃易爆等信息。</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410"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9</w:t>
                  </w:r>
                </w:p>
              </w:tc>
              <w:tc>
                <w:tcPr>
                  <w:tcW w:w="2532"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危险废物环境重点监管单位要在出入口、设施内部、危险废物运输车辆通道等关键位置设置视频监控并与中控室联网，通过设立公开栏、标志牌等方式，主动公开危险废物产生和利用处置等有关信息。集中焚烧处置单位及有自建危废焚烧处置设施的单位要依法及时公开工况运行、污染物排放等信息，并联网至属地生态环境部门。危险废物经营单位应同步公开危险废物经营许可证和许可条件等信息。</w:t>
                  </w:r>
                </w:p>
              </w:tc>
              <w:tc>
                <w:tcPr>
                  <w:tcW w:w="1609"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待企业项目建成后将严格落实信息公开制度，按照危险废物识别标识规范化设置要求”的规定将危险废物信息公开栏设置在单位厂区门口200cm处；拟建危废贮存库外的显著位置设置平面固定式准设施警示标识牌</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5" w:hRule="atLeast"/>
              </w:trPr>
              <w:tc>
                <w:tcPr>
                  <w:tcW w:w="410"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10</w:t>
                  </w:r>
                </w:p>
              </w:tc>
              <w:tc>
                <w:tcPr>
                  <w:tcW w:w="2532"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建立多部门联合评估机制，各地每年评估重点产废单位不少于60家，其他产废单位不少于20家，经营单位做到全覆盖。现场评估原则上应采取“四不两直”方式，重点评估许可证审查要点执行情况、新制度和标准落实情况、企业相关负责人危废管理知识掌握情况等。严格评估问题整改，形成发现问题、跟踪整改、闭环销号的工作机制，对企业标签标志、台账管理不规范等问题，督促企业立行立改；对违反许可条件的经营单位，要实施限制接收危险废物措施；对屡查屡犯或发现超范围接收、未如实申报、账实不符、去向不明等违法违规问题及时依法查处。</w:t>
                  </w:r>
                </w:p>
              </w:tc>
              <w:tc>
                <w:tcPr>
                  <w:tcW w:w="1609"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待企业项目建成后</w:t>
                  </w:r>
                  <w:r>
                    <w:rPr>
                      <w:rFonts w:hint="default" w:ascii="Times New Roman" w:hAnsi="Times New Roman" w:eastAsia="宋体" w:cs="Times New Roman"/>
                      <w:sz w:val="18"/>
                      <w:szCs w:val="18"/>
                      <w:lang w:val="en-US" w:eastAsia="zh-CN"/>
                    </w:rPr>
                    <w:t>严格按照现场规范评估要求</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410"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11</w:t>
                  </w:r>
                </w:p>
              </w:tc>
              <w:tc>
                <w:tcPr>
                  <w:tcW w:w="2532"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各地要依托江苏省固体废物管理信息系统逐步建设的物料衡算等相关功能，排查衡算结果与实际产废情况相差明显的原因，指导督促企业如实申报，对故意隐瞒废物种类、数量的，依法查处。化工园区要持续督促园区企业将固体废物相关信息接入园区平台管理。充分运用卫星遥感、无人机等智能化手段，提升主动发现非法倾倒固体废物能力。</w:t>
                  </w:r>
                </w:p>
              </w:tc>
              <w:tc>
                <w:tcPr>
                  <w:tcW w:w="1609"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待企业项目建成后将严格</w:t>
                  </w:r>
                  <w:r>
                    <w:rPr>
                      <w:rFonts w:hint="default" w:ascii="Times New Roman" w:hAnsi="Times New Roman" w:eastAsia="宋体" w:cs="Times New Roman"/>
                      <w:sz w:val="18"/>
                      <w:szCs w:val="18"/>
                      <w:lang w:val="en-US" w:eastAsia="zh-CN"/>
                    </w:rPr>
                    <w:t>按照江苏省固体废物管理信息系统建设物料衡算，如实申报废物种类、数量。</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410"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12</w:t>
                  </w:r>
                </w:p>
              </w:tc>
              <w:tc>
                <w:tcPr>
                  <w:tcW w:w="2532"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根据实际需求统筹推进危险废物利用处置能力建设。依托江苏省固废管理信息系统就近利用处置提醒功能，引导企业合理选择利用处置去向，促进危险废物市内消纳率逐步提升，防范长距离运输带来的环境风险。</w:t>
                  </w:r>
                </w:p>
              </w:tc>
              <w:tc>
                <w:tcPr>
                  <w:tcW w:w="1609"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企业项目建成后将严格</w:t>
                  </w:r>
                  <w:r>
                    <w:rPr>
                      <w:rFonts w:hint="default" w:ascii="Times New Roman" w:hAnsi="Times New Roman" w:eastAsia="宋体" w:cs="Times New Roman"/>
                      <w:sz w:val="18"/>
                      <w:szCs w:val="18"/>
                      <w:lang w:val="en-US" w:eastAsia="zh-CN"/>
                    </w:rPr>
                    <w:t>按照江苏省固废管理信息系统对危险废物进行就近利用处置，合理选择利用处置去向。</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9" w:hRule="atLeast"/>
              </w:trPr>
              <w:tc>
                <w:tcPr>
                  <w:tcW w:w="410"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13</w:t>
                  </w:r>
                </w:p>
              </w:tc>
              <w:tc>
                <w:tcPr>
                  <w:tcW w:w="2532"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危险废物利用产物按照五类属性进行分类管理，其中按产品管理的需要对其特征污染物开展检测分析，严防污染物向下游转移。全国性行业协会或江苏省地方行业协会制定的团体标准若包括危险废物来源、利用工艺、利用产物功能性指标、有效成分含量、特征污染物含量和利用产物用途的，可作为用于工业生产替代原料的综合利用产物环境风险评价的依据，其环境风险评价要重点阐述标准落实情况。严格执行风险评价要求的利用产物可按照产品管理。</w:t>
                  </w:r>
                </w:p>
              </w:tc>
              <w:tc>
                <w:tcPr>
                  <w:tcW w:w="1609"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企业项目建成后</w:t>
                  </w:r>
                  <w:r>
                    <w:rPr>
                      <w:rFonts w:hint="default" w:ascii="Times New Roman" w:hAnsi="Times New Roman" w:eastAsia="宋体" w:cs="Times New Roman"/>
                      <w:sz w:val="18"/>
                      <w:szCs w:val="18"/>
                      <w:lang w:val="en-US" w:eastAsia="zh-CN"/>
                    </w:rPr>
                    <w:t>危险废物利用产物严格按照五类属性进行分类管理，其中按产品管理的需要对其特征污染物开展检测分析，严防污染物向下游转移。</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410"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14</w:t>
                  </w:r>
                </w:p>
              </w:tc>
              <w:tc>
                <w:tcPr>
                  <w:tcW w:w="2532"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各地要认真组织好辖区内危险废物经营单位监督性监测工作，逐步将入厂危废和产物中特征污染物纳入监测范围，并根据排污许可证（或许可条件）、产品标准确定入厂危废和产物监测指标。危险废物经营单位要严格执行国家、行业、地方污染控制标准，严格执行危险废物入厂接收标准限值。利用产物中特征污染物含量超出标准限值的，按照危险废物进行管理，严禁作为产品出售。因超标导致污染环境、破坏生态的，依法予以立案查处。</w:t>
                  </w:r>
                </w:p>
              </w:tc>
              <w:tc>
                <w:tcPr>
                  <w:tcW w:w="1609" w:type="pct"/>
                  <w:noWrap w:val="0"/>
                  <w:vAlign w:val="center"/>
                </w:tcPr>
                <w:p>
                  <w:pPr>
                    <w:spacing w:line="360" w:lineRule="auto"/>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企业项目建成后</w:t>
                  </w:r>
                  <w:r>
                    <w:rPr>
                      <w:rFonts w:hint="default" w:ascii="Times New Roman" w:hAnsi="Times New Roman" w:eastAsia="宋体" w:cs="Times New Roman"/>
                      <w:sz w:val="18"/>
                      <w:szCs w:val="18"/>
                      <w:lang w:val="en-US" w:eastAsia="zh-CN"/>
                    </w:rPr>
                    <w:t>严格按照产品标准确定危废和产物检测指标</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9" w:hRule="atLeast"/>
              </w:trPr>
              <w:tc>
                <w:tcPr>
                  <w:tcW w:w="410"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15</w:t>
                  </w:r>
                </w:p>
              </w:tc>
              <w:tc>
                <w:tcPr>
                  <w:tcW w:w="2532"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企业需按照《一般工业固体废物管理台账制定指南（试行）》（生态环境部2021年第82号公告）要求，建立一般工业固废台账，污泥、矿渣等同时还需在江苏省固废管理信息系统申报，电子台账已有内容，不再制作纸质台账。各地要指导督促辖区产生一般工业固体废物的企业落实台账记录和厂区暂存污染防治等管理要求，持续提升一般工业固体废物管理水平，并对辖区内一般工业固废利用处置需求和能力进行摸排，建立健全收运处体系。</w:t>
                  </w:r>
                </w:p>
              </w:tc>
              <w:tc>
                <w:tcPr>
                  <w:tcW w:w="1609"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待企业项目建成后将严格按照《一般工业固体废物管理台账制定指南（试行）》（生态环境部2021年第82号公告）要求，建立一般工业固废等台账。</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atLeast"/>
              </w:trPr>
              <w:tc>
                <w:tcPr>
                  <w:tcW w:w="410"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16</w:t>
                  </w:r>
                </w:p>
              </w:tc>
              <w:tc>
                <w:tcPr>
                  <w:tcW w:w="2532"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定期对群众投诉举报、涉废专项行动、危险废物规范化评估等发现的涉废问题线索开展执法检查。根据有关部署，将打击危险废物非法处置列入年度执法计划，适时在全市范围内组织开展铝灰、酸洗污泥、废矿物油、废包装桶等危险废物专项执法检查，保持打击危险废物非法处置等环境违法犯罪行为高压态势，坚决守牢我市生态环境安全底线。</w:t>
                  </w:r>
                </w:p>
              </w:tc>
              <w:tc>
                <w:tcPr>
                  <w:tcW w:w="1609" w:type="pct"/>
                  <w:noWrap w:val="0"/>
                  <w:vAlign w:val="center"/>
                </w:tcPr>
                <w:p>
                  <w:pPr>
                    <w:spacing w:line="360" w:lineRule="auto"/>
                    <w:ind w:firstLine="360" w:firstLineChars="200"/>
                    <w:jc w:val="left"/>
                    <w:rPr>
                      <w:rFonts w:hint="default" w:ascii="Times New Roman" w:hAnsi="Times New Roman" w:eastAsia="宋体" w:cs="Times New Roman"/>
                      <w:sz w:val="18"/>
                      <w:szCs w:val="18"/>
                      <w:lang w:val="en-US"/>
                    </w:rPr>
                  </w:pPr>
                  <w:r>
                    <w:rPr>
                      <w:rFonts w:hint="default" w:ascii="Times New Roman" w:hAnsi="Times New Roman" w:eastAsia="宋体" w:cs="Times New Roman"/>
                      <w:sz w:val="18"/>
                      <w:szCs w:val="18"/>
                    </w:rPr>
                    <w:t>企业项目建成后</w:t>
                  </w:r>
                  <w:r>
                    <w:rPr>
                      <w:rFonts w:hint="default" w:ascii="Times New Roman" w:hAnsi="Times New Roman" w:eastAsia="宋体" w:cs="Times New Roman"/>
                      <w:sz w:val="18"/>
                      <w:szCs w:val="18"/>
                      <w:lang w:val="en-US" w:eastAsia="zh-CN"/>
                    </w:rPr>
                    <w:t>严格按照危险废物处置标准处置</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5" w:hRule="atLeast"/>
              </w:trPr>
              <w:tc>
                <w:tcPr>
                  <w:tcW w:w="410"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17</w:t>
                  </w:r>
                </w:p>
              </w:tc>
              <w:tc>
                <w:tcPr>
                  <w:tcW w:w="2532"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严厉打击非法倾倒填埋。各地要建立健全固废非法倾倒填埋案件应急响应机制，增强执法、固管、监测、应急等条线工作合力。及时制止非法倾倒填埋行为，同步开展立案查处、固废溯源、环境监测、环境应急等各项举措。在不影响案件查处的前提下，积极推动涉案固废妥善处置，及时消除环境污染风险隐患。</w:t>
                  </w:r>
                </w:p>
              </w:tc>
              <w:tc>
                <w:tcPr>
                  <w:tcW w:w="1609" w:type="pct"/>
                  <w:noWrap w:val="0"/>
                  <w:vAlign w:val="center"/>
                </w:tcPr>
                <w:p>
                  <w:pPr>
                    <w:keepNext w:val="0"/>
                    <w:keepLines w:val="0"/>
                    <w:pageBreakBefore w:val="0"/>
                    <w:widowControl w:val="0"/>
                    <w:kinsoku/>
                    <w:wordWrap w:val="0"/>
                    <w:overflowPunct/>
                    <w:topLinePunct w:val="0"/>
                    <w:autoSpaceDE/>
                    <w:autoSpaceDN/>
                    <w:bidi w:val="0"/>
                    <w:adjustRightInd/>
                    <w:snapToGrid/>
                    <w:spacing w:line="360" w:lineRule="auto"/>
                    <w:ind w:firstLine="360" w:firstLineChars="200"/>
                    <w:jc w:val="left"/>
                    <w:textAlignment w:val="auto"/>
                    <w:rPr>
                      <w:rFonts w:hint="default" w:ascii="Times New Roman" w:hAnsi="Times New Roman" w:eastAsia="宋体" w:cs="Times New Roman"/>
                      <w:sz w:val="18"/>
                      <w:szCs w:val="18"/>
                      <w:lang w:val="en-US"/>
                    </w:rPr>
                  </w:pPr>
                  <w:r>
                    <w:rPr>
                      <w:rFonts w:hint="default" w:ascii="Times New Roman" w:hAnsi="Times New Roman" w:eastAsia="宋体" w:cs="Times New Roman"/>
                      <w:sz w:val="18"/>
                      <w:szCs w:val="18"/>
                    </w:rPr>
                    <w:t>企业项目建成后</w:t>
                  </w:r>
                  <w:r>
                    <w:rPr>
                      <w:rFonts w:hint="default" w:ascii="Times New Roman" w:hAnsi="Times New Roman" w:eastAsia="宋体" w:cs="Times New Roman"/>
                      <w:sz w:val="18"/>
                      <w:szCs w:val="18"/>
                      <w:lang w:val="en-US" w:eastAsia="zh-CN"/>
                    </w:rPr>
                    <w:t>严格对固废妥善处置，消除对环境污染的风险。</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410"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18</w:t>
                  </w:r>
                </w:p>
              </w:tc>
              <w:tc>
                <w:tcPr>
                  <w:tcW w:w="2532"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强化监管联动机制。固管、环评、执法、监测等部门要加强信息互通，形成联合审查、联合监管、联合监测的工作机制，切实增强监管合力。固管部门要加强固体废物综合监管衔接，推动完善全过程监管体系；开展日常管理、现场抽查和业务培训，提升部门监管能力和涉废单位管理水平，指导推动企业做好涉固体废物环境问题整改；加强第三方鉴别机构管理，规范鉴别行为。环评部门要规范新、改、扩建项目环评审批和企业排污许可证发放；有计划推进对涉及按产品管理的副产盐、副产酸环境影响评价文件依法开展复核，依法落实工业固体废物排污许可制度；对产物属性判定有疑义的，及时与固管部门会商。执法部门要将环评、排污许可中涉及固体废物管理执行情况纳入现场执法重点内容；从严打击非法转移、倾倒、填埋、利用处置固体废物等环境违法犯罪行为。定期向固管等部门通报违法违规突出问题。监测部门要加强对市县监测机构和第三方监测机构管理，对违反监测要求的要督促整改并依法处理。组织对危险废物经营单位入厂危废和产物中特征污染物开展监测并纳入年度监督性监测计划。</w:t>
                  </w:r>
                </w:p>
              </w:tc>
              <w:tc>
                <w:tcPr>
                  <w:tcW w:w="1609" w:type="pct"/>
                  <w:noWrap w:val="0"/>
                  <w:vAlign w:val="center"/>
                </w:tcPr>
                <w:p>
                  <w:pPr>
                    <w:spacing w:line="360" w:lineRule="auto"/>
                    <w:ind w:firstLine="360" w:firstLineChars="200"/>
                    <w:jc w:val="left"/>
                    <w:rPr>
                      <w:rFonts w:hint="default" w:ascii="Times New Roman" w:hAnsi="Times New Roman" w:eastAsia="宋体" w:cs="Times New Roman"/>
                      <w:sz w:val="18"/>
                      <w:szCs w:val="18"/>
                      <w:lang w:val="en-US"/>
                    </w:rPr>
                  </w:pPr>
                  <w:r>
                    <w:rPr>
                      <w:rFonts w:hint="default" w:ascii="Times New Roman" w:hAnsi="Times New Roman" w:eastAsia="宋体" w:cs="Times New Roman"/>
                      <w:sz w:val="18"/>
                      <w:szCs w:val="18"/>
                    </w:rPr>
                    <w:t>企业项目建成后</w:t>
                  </w:r>
                  <w:r>
                    <w:rPr>
                      <w:rFonts w:hint="default" w:ascii="Times New Roman" w:hAnsi="Times New Roman" w:eastAsia="宋体" w:cs="Times New Roman"/>
                      <w:sz w:val="18"/>
                      <w:szCs w:val="18"/>
                      <w:lang w:val="en-US" w:eastAsia="zh-CN"/>
                    </w:rPr>
                    <w:t>严格对固体废物加强管制。</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5" w:hRule="atLeast"/>
              </w:trPr>
              <w:tc>
                <w:tcPr>
                  <w:tcW w:w="410"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19</w:t>
                  </w:r>
                </w:p>
              </w:tc>
              <w:tc>
                <w:tcPr>
                  <w:tcW w:w="2532" w:type="pct"/>
                  <w:noWrap w:val="0"/>
                  <w:vAlign w:val="center"/>
                </w:tcPr>
                <w:p>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推动清洁生产审核。推动危险废物经营单位积极开展清洁生产审核，持续提升利用处置工艺技术水平，减少环境污染。鼓励辖区内危险废物经营单位按照省绿色发展领军企业评选要求积极创建，力争培育一批绿色领军企业，获得省厅在行政审批、财政税收、绿色金融、跨区域转移等方面给予的政策激励。</w:t>
                  </w:r>
                </w:p>
              </w:tc>
              <w:tc>
                <w:tcPr>
                  <w:tcW w:w="1609" w:type="pct"/>
                  <w:noWrap w:val="0"/>
                  <w:vAlign w:val="center"/>
                </w:tcPr>
                <w:p>
                  <w:pPr>
                    <w:spacing w:line="360" w:lineRule="auto"/>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rPr>
                    <w:t>企业项目建成后</w:t>
                  </w:r>
                  <w:r>
                    <w:rPr>
                      <w:rFonts w:hint="default" w:ascii="Times New Roman" w:hAnsi="Times New Roman" w:eastAsia="宋体" w:cs="Times New Roman"/>
                      <w:sz w:val="18"/>
                      <w:szCs w:val="18"/>
                      <w:lang w:val="en-US" w:eastAsia="zh-CN"/>
                    </w:rPr>
                    <w:t>严格按照清洁生产要求，提升利用处置工艺技术水平，减少环境污染。</w:t>
                  </w:r>
                </w:p>
              </w:tc>
              <w:tc>
                <w:tcPr>
                  <w:tcW w:w="448" w:type="pct"/>
                  <w:noWrap w:val="0"/>
                  <w:vAlign w:val="center"/>
                </w:tcPr>
                <w:p>
                  <w:pPr>
                    <w:spacing w:line="360" w:lineRule="auto"/>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符合</w:t>
                  </w:r>
                </w:p>
              </w:tc>
            </w:tr>
          </w:tbl>
          <w:p>
            <w:pPr>
              <w:spacing w:line="360" w:lineRule="auto"/>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6</w:t>
            </w:r>
            <w:r>
              <w:rPr>
                <w:rFonts w:hint="default" w:ascii="Times New Roman" w:hAnsi="Times New Roman" w:eastAsia="宋体" w:cs="Times New Roman"/>
                <w:sz w:val="21"/>
                <w:szCs w:val="21"/>
              </w:rPr>
              <w:t>）固体废物贮存、运输过程中散落、</w:t>
            </w:r>
            <w:r>
              <w:rPr>
                <w:rFonts w:hint="default" w:ascii="Times New Roman" w:hAnsi="Times New Roman" w:eastAsia="宋体" w:cs="Times New Roman"/>
                <w:sz w:val="21"/>
                <w:szCs w:val="21"/>
                <w:lang w:eastAsia="zh-CN"/>
              </w:rPr>
              <w:t>泄漏</w:t>
            </w:r>
            <w:r>
              <w:rPr>
                <w:rFonts w:hint="default" w:ascii="Times New Roman" w:hAnsi="Times New Roman" w:eastAsia="宋体" w:cs="Times New Roman"/>
                <w:sz w:val="21"/>
                <w:szCs w:val="21"/>
              </w:rPr>
              <w:t>的环境影响</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根据《危险废物贮存污染控制标准》（GB18597-2023）要求，各类固体废物按照相关要求分类收集贮存。包装容器符合相关规定，与固体废物无任何反应，对固废无影响。</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同时本项目固废场所采取防火、防扬散、防流失措施，危险废物堆放场所采取防渗漏或者其他防止污染运输沿途环境，若下渗或</w:t>
            </w:r>
            <w:r>
              <w:rPr>
                <w:rFonts w:hint="default" w:ascii="Times New Roman" w:hAnsi="Times New Roman" w:eastAsia="宋体" w:cs="Times New Roman"/>
                <w:sz w:val="21"/>
                <w:szCs w:val="21"/>
                <w:lang w:eastAsia="zh-CN"/>
              </w:rPr>
              <w:t>泄漏</w:t>
            </w:r>
            <w:r>
              <w:rPr>
                <w:rFonts w:hint="default" w:ascii="Times New Roman" w:hAnsi="Times New Roman" w:eastAsia="宋体" w:cs="Times New Roman"/>
                <w:sz w:val="21"/>
                <w:szCs w:val="21"/>
              </w:rPr>
              <w:t>进入土壤或地下水，将会造成局部土壤和地下水的污染，因此在运输过程中应加强管理。</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收集的危险废物及时贮存至危废间，同时建立危险废物管理制度，设置储存台账，如实记录危险废物储存及处理情况，贮存场所拟在出入口设置在线视频监控。</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本项目危险废物均密封储存于</w:t>
            </w:r>
            <w:r>
              <w:rPr>
                <w:rFonts w:hint="default" w:ascii="Times New Roman" w:hAnsi="Times New Roman" w:eastAsia="宋体" w:cs="Times New Roman"/>
                <w:sz w:val="21"/>
                <w:szCs w:val="21"/>
                <w:lang w:val="en-US" w:eastAsia="zh-CN"/>
              </w:rPr>
              <w:t>医疗废物专用袋</w:t>
            </w:r>
            <w:r>
              <w:rPr>
                <w:rFonts w:hint="default" w:ascii="Times New Roman" w:hAnsi="Times New Roman" w:eastAsia="宋体" w:cs="Times New Roman"/>
                <w:sz w:val="21"/>
                <w:szCs w:val="21"/>
              </w:rPr>
              <w:t>中，贮存过程中不会挥发出废气，不会对环境空气、地表水、地下水、土壤以及环境敏感目标造成影响。</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⑤综合利用、处理、处置的环境影响分析</w:t>
            </w:r>
          </w:p>
          <w:p>
            <w:pPr>
              <w:spacing w:line="360" w:lineRule="auto"/>
              <w:ind w:firstLine="420" w:firstLineChars="200"/>
              <w:outlineLvl w:val="1"/>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本项目固废采取了合理的综合利用和处置措施，危险废物、生活垃圾均不外排，因此对周围环境基本无影响。</w:t>
            </w:r>
          </w:p>
          <w:p>
            <w:pPr>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四</w:t>
            </w:r>
            <w:r>
              <w:rPr>
                <w:rFonts w:hint="default" w:ascii="Times New Roman" w:hAnsi="Times New Roman" w:eastAsia="宋体" w:cs="Times New Roman"/>
                <w:sz w:val="21"/>
                <w:szCs w:val="21"/>
              </w:rPr>
              <w:t>）固体废物环境管理要求</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本环评要求企业落实以下几点要求：</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a、对危险固废</w:t>
            </w:r>
            <w:r>
              <w:rPr>
                <w:rFonts w:hint="default" w:ascii="Times New Roman" w:hAnsi="Times New Roman" w:eastAsia="宋体" w:cs="Times New Roman"/>
                <w:sz w:val="21"/>
                <w:szCs w:val="21"/>
                <w:lang w:val="en-US" w:eastAsia="zh-CN"/>
              </w:rPr>
              <w:t>仓库</w:t>
            </w:r>
            <w:r>
              <w:rPr>
                <w:rFonts w:hint="default" w:ascii="Times New Roman" w:hAnsi="Times New Roman" w:eastAsia="宋体" w:cs="Times New Roman"/>
                <w:sz w:val="21"/>
                <w:szCs w:val="21"/>
              </w:rPr>
              <w:t>区域设立监控设施，</w:t>
            </w:r>
            <w:r>
              <w:rPr>
                <w:rFonts w:hint="default" w:ascii="Times New Roman" w:hAnsi="Times New Roman" w:eastAsia="宋体" w:cs="Times New Roman"/>
                <w:sz w:val="21"/>
                <w:szCs w:val="21"/>
                <w:lang w:eastAsia="zh-CN"/>
              </w:rPr>
              <w:t>医疗废物存储间</w:t>
            </w:r>
            <w:r>
              <w:rPr>
                <w:rFonts w:hint="default" w:ascii="Times New Roman" w:hAnsi="Times New Roman" w:eastAsia="宋体" w:cs="Times New Roman"/>
                <w:sz w:val="21"/>
                <w:szCs w:val="21"/>
              </w:rPr>
              <w:t>周围应设置围墙或者防护栅栏，与周边区域严格分离开，并按GB15562.2的规定设置警示标志，现场需配置安全防护服装与工具、照明设施等；</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b、对固废</w:t>
            </w:r>
            <w:r>
              <w:rPr>
                <w:rFonts w:hint="default" w:ascii="Times New Roman" w:hAnsi="Times New Roman" w:eastAsia="宋体" w:cs="Times New Roman"/>
                <w:sz w:val="21"/>
                <w:szCs w:val="21"/>
                <w:lang w:val="en-US" w:eastAsia="zh-CN"/>
              </w:rPr>
              <w:t>仓库</w:t>
            </w:r>
            <w:r>
              <w:rPr>
                <w:rFonts w:hint="default" w:ascii="Times New Roman" w:hAnsi="Times New Roman" w:eastAsia="宋体" w:cs="Times New Roman"/>
                <w:sz w:val="21"/>
                <w:szCs w:val="21"/>
              </w:rPr>
              <w:t>进行水泥硬化，并采取严格的、科学的防渗措施；</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c、加强固废管理，固废</w:t>
            </w:r>
            <w:r>
              <w:rPr>
                <w:rFonts w:hint="default" w:ascii="Times New Roman" w:hAnsi="Times New Roman" w:eastAsia="宋体" w:cs="Times New Roman"/>
                <w:sz w:val="21"/>
                <w:szCs w:val="21"/>
                <w:lang w:val="en-US" w:eastAsia="zh-CN"/>
              </w:rPr>
              <w:t>仓库</w:t>
            </w:r>
            <w:r>
              <w:rPr>
                <w:rFonts w:hint="default" w:ascii="Times New Roman" w:hAnsi="Times New Roman" w:eastAsia="宋体" w:cs="Times New Roman"/>
                <w:sz w:val="21"/>
                <w:szCs w:val="21"/>
              </w:rPr>
              <w:t>中一般固废与危险固废的堆放位置应在物理上、空间上严格区分，确保污染物不在一般固废与危险固废间转移；危险固废及时入</w:t>
            </w:r>
            <w:r>
              <w:rPr>
                <w:rFonts w:hint="default" w:ascii="Times New Roman" w:hAnsi="Times New Roman" w:eastAsia="宋体" w:cs="Times New Roman"/>
                <w:sz w:val="21"/>
                <w:szCs w:val="21"/>
                <w:lang w:val="en-US" w:eastAsia="zh-CN"/>
              </w:rPr>
              <w:t>医疗废物存储间</w:t>
            </w:r>
            <w:r>
              <w:rPr>
                <w:rFonts w:hint="default" w:ascii="Times New Roman" w:hAnsi="Times New Roman" w:eastAsia="宋体" w:cs="Times New Roman"/>
                <w:sz w:val="21"/>
                <w:szCs w:val="21"/>
              </w:rPr>
              <w:t>存放，并及时通知协议处理单位进行回收处理；</w:t>
            </w:r>
          </w:p>
          <w:p>
            <w:pPr>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d、严格落实危险固废转移台账管理，做到每一笔危险固废的去向都有台账记录，包括厂区内部的和行政管理部门的。</w:t>
            </w:r>
          </w:p>
          <w:p>
            <w:pPr>
              <w:spacing w:line="360" w:lineRule="auto"/>
              <w:ind w:firstLine="420" w:firstLineChars="200"/>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综上，本项目产生的危险固废均有合理的处理途径，不会产生二次环境污染。</w:t>
            </w:r>
          </w:p>
          <w:p>
            <w:pPr>
              <w:widowControl/>
              <w:shd w:val="clear" w:color="auto" w:fill="FFFFFF"/>
              <w:spacing w:line="360" w:lineRule="auto"/>
              <w:ind w:firstLine="422" w:firstLineChars="200"/>
              <w:jc w:val="left"/>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5、地下水、土壤</w:t>
            </w:r>
          </w:p>
          <w:p>
            <w:pPr>
              <w:widowControl/>
              <w:shd w:val="clear" w:color="auto" w:fill="FFFFFF"/>
              <w:spacing w:line="360" w:lineRule="auto"/>
              <w:ind w:firstLine="210" w:firstLineChars="1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（1）地下水、土壤污染途径</w:t>
            </w:r>
          </w:p>
          <w:p>
            <w:pPr>
              <w:widowControl/>
              <w:shd w:val="clear" w:color="auto" w:fill="FFFFFF"/>
              <w:wordWrap w:val="0"/>
              <w:spacing w:line="360" w:lineRule="auto"/>
              <w:ind w:firstLine="452" w:firstLineChars="200"/>
              <w:jc w:val="left"/>
              <w:rPr>
                <w:rFonts w:hint="default" w:ascii="Times New Roman" w:hAnsi="Times New Roman" w:eastAsia="宋体" w:cs="Times New Roman"/>
                <w:spacing w:val="8"/>
                <w:kern w:val="0"/>
                <w:sz w:val="21"/>
                <w:szCs w:val="21"/>
              </w:rPr>
            </w:pPr>
            <w:r>
              <w:rPr>
                <w:rFonts w:hint="default" w:ascii="Times New Roman" w:hAnsi="Times New Roman" w:eastAsia="宋体" w:cs="Times New Roman"/>
                <w:spacing w:val="8"/>
                <w:kern w:val="0"/>
                <w:sz w:val="21"/>
                <w:szCs w:val="21"/>
              </w:rPr>
              <w:t>企业生产过程中对地下水及土壤环境可能造成影响的污染源主要考虑液态物料、危险废物发生原料、危废桶破裂后通过地面漫流的方式渗入周边土壤及地下水环境，进而造成土壤和地下水的污染。</w:t>
            </w:r>
          </w:p>
          <w:p>
            <w:pPr>
              <w:widowControl/>
              <w:shd w:val="clear" w:color="auto" w:fill="FFFFFF"/>
              <w:spacing w:line="360" w:lineRule="auto"/>
              <w:ind w:firstLine="210" w:firstLineChars="1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（2）地下水、土壤污染防控措施</w:t>
            </w:r>
          </w:p>
          <w:p>
            <w:pPr>
              <w:widowControl/>
              <w:shd w:val="clear" w:color="auto" w:fill="FFFFFF"/>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为更好</w:t>
            </w:r>
            <w:r>
              <w:rPr>
                <w:rFonts w:hint="default" w:ascii="Times New Roman" w:hAnsi="Times New Roman" w:eastAsia="宋体" w:cs="Times New Roman"/>
                <w:sz w:val="21"/>
                <w:szCs w:val="21"/>
                <w:lang w:eastAsia="zh-CN"/>
              </w:rPr>
              <w:t>地</w:t>
            </w:r>
            <w:r>
              <w:rPr>
                <w:rFonts w:hint="default" w:ascii="Times New Roman" w:hAnsi="Times New Roman" w:eastAsia="宋体" w:cs="Times New Roman"/>
                <w:sz w:val="21"/>
                <w:szCs w:val="21"/>
              </w:rPr>
              <w:t>保护地下水资源，将本项目对地下水的影响降至最低限度，建议采取相关措施。</w:t>
            </w:r>
          </w:p>
          <w:p>
            <w:pPr>
              <w:widowControl/>
              <w:shd w:val="clear" w:color="auto" w:fill="FFFFFF"/>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①源头控制：在物料输送、贮存及生产过程杜绝各类废水下渗的通道。另外，应严格废水的管理，强调节约用水，防止污水“跑、冒、滴、漏”，降低物质泄漏污染土壤和地下水环境的隐患。</w:t>
            </w:r>
          </w:p>
          <w:p>
            <w:pPr>
              <w:widowControl/>
              <w:shd w:val="clear" w:color="auto" w:fill="FFFFFF"/>
              <w:spacing w:line="360" w:lineRule="auto"/>
              <w:ind w:firstLine="420" w:firstLineChars="200"/>
              <w:jc w:val="left"/>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②末端控制：分区防控。主要包括厂内污染区地面的防渗措施和泄漏、渗漏污染物收集措施，即在污染区地面进行防渗处理，防止洒落地面的污染物渗入地下，并把滞留在地面的污染物收集起来集中处理，从而避免对地下水的污染。结合项目各生产设备、贮存等因素，根据项目场地污染控制难易程度和污染物特性对全厂进行分区防控。</w:t>
            </w:r>
          </w:p>
          <w:p>
            <w:pPr>
              <w:pStyle w:val="35"/>
              <w:spacing w:after="0"/>
              <w:ind w:firstLine="2108" w:firstLineChars="1000"/>
              <w:jc w:val="both"/>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表4-</w:t>
            </w:r>
            <w:r>
              <w:rPr>
                <w:rFonts w:hint="default" w:ascii="Times New Roman" w:hAnsi="Times New Roman" w:eastAsia="宋体" w:cs="Times New Roman"/>
                <w:b/>
                <w:bCs/>
                <w:sz w:val="21"/>
                <w:szCs w:val="21"/>
                <w:lang w:val="en-US" w:eastAsia="zh-CN"/>
              </w:rPr>
              <w:t>16</w:t>
            </w:r>
            <w:r>
              <w:rPr>
                <w:rFonts w:hint="default" w:ascii="Times New Roman" w:hAnsi="Times New Roman" w:eastAsia="宋体" w:cs="Times New Roman"/>
                <w:b/>
                <w:bCs/>
                <w:sz w:val="21"/>
                <w:szCs w:val="21"/>
              </w:rPr>
              <w:t>本项目分区防渗方案及防渗措施表</w:t>
            </w:r>
          </w:p>
          <w:tbl>
            <w:tblPr>
              <w:tblStyle w:val="36"/>
              <w:tblW w:w="4999"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821"/>
              <w:gridCol w:w="1401"/>
              <w:gridCol w:w="1880"/>
              <w:gridCol w:w="476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71" w:hRule="atLeast"/>
                <w:jc w:val="center"/>
              </w:trPr>
              <w:tc>
                <w:tcPr>
                  <w:tcW w:w="463" w:type="pc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序号</w:t>
                  </w:r>
                </w:p>
              </w:tc>
              <w:tc>
                <w:tcPr>
                  <w:tcW w:w="790" w:type="pc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防治分区</w:t>
                  </w:r>
                </w:p>
              </w:tc>
              <w:tc>
                <w:tcPr>
                  <w:tcW w:w="1060" w:type="pc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分区位置</w:t>
                  </w:r>
                </w:p>
              </w:tc>
              <w:tc>
                <w:tcPr>
                  <w:tcW w:w="2685" w:type="pc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防渗要求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5" w:hRule="atLeast"/>
                <w:jc w:val="center"/>
              </w:trPr>
              <w:tc>
                <w:tcPr>
                  <w:tcW w:w="463" w:type="pc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w:t>
                  </w:r>
                </w:p>
              </w:tc>
              <w:tc>
                <w:tcPr>
                  <w:tcW w:w="790" w:type="pct"/>
                  <w:vMerge w:val="restar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重点污染防治区</w:t>
                  </w:r>
                </w:p>
              </w:tc>
              <w:tc>
                <w:tcPr>
                  <w:tcW w:w="1060" w:type="pct"/>
                  <w:vAlign w:val="center"/>
                </w:tcPr>
                <w:p>
                  <w:pPr>
                    <w:widowControl/>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医疗废物存储间</w:t>
                  </w:r>
                </w:p>
              </w:tc>
              <w:tc>
                <w:tcPr>
                  <w:tcW w:w="2685" w:type="pct"/>
                  <w:vMerge w:val="restar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依据国家危险贮存标准要求设计、施工，采用200mm厚C15砼垫层随打随抹光，设置钢筋混凝土围堰，并采用底部加设土工膜进行防渗，使渗透系数不大于1.0×10</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vertAlign w:val="superscript"/>
                    </w:rPr>
                    <w:t>10</w:t>
                  </w:r>
                  <w:r>
                    <w:rPr>
                      <w:rFonts w:hint="default" w:ascii="Times New Roman" w:hAnsi="Times New Roman" w:eastAsia="宋体" w:cs="Times New Roman"/>
                      <w:sz w:val="18"/>
                      <w:szCs w:val="18"/>
                    </w:rPr>
                    <w:t>cm/s，且防雨和防晒。</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12" w:hRule="atLeast"/>
                <w:jc w:val="center"/>
              </w:trPr>
              <w:tc>
                <w:tcPr>
                  <w:tcW w:w="463" w:type="pc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w:t>
                  </w:r>
                </w:p>
              </w:tc>
              <w:tc>
                <w:tcPr>
                  <w:tcW w:w="790" w:type="pct"/>
                  <w:vMerge w:val="continue"/>
                  <w:vAlign w:val="center"/>
                </w:tcPr>
                <w:p>
                  <w:pPr>
                    <w:widowControl/>
                    <w:jc w:val="center"/>
                    <w:rPr>
                      <w:rFonts w:hint="default" w:ascii="Times New Roman" w:hAnsi="Times New Roman" w:eastAsia="宋体" w:cs="Times New Roman"/>
                      <w:sz w:val="18"/>
                      <w:szCs w:val="18"/>
                    </w:rPr>
                  </w:pPr>
                </w:p>
              </w:tc>
              <w:tc>
                <w:tcPr>
                  <w:tcW w:w="1060" w:type="pc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仓库</w:t>
                  </w:r>
                </w:p>
              </w:tc>
              <w:tc>
                <w:tcPr>
                  <w:tcW w:w="2685" w:type="pct"/>
                  <w:vMerge w:val="continue"/>
                  <w:vAlign w:val="center"/>
                </w:tcPr>
                <w:p>
                  <w:pPr>
                    <w:widowControl/>
                    <w:jc w:val="center"/>
                    <w:rPr>
                      <w:rFonts w:hint="default" w:ascii="Times New Roman" w:hAnsi="Times New Roman" w:eastAsia="宋体" w:cs="Times New Roman"/>
                      <w:sz w:val="18"/>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4" w:hRule="atLeast"/>
                <w:jc w:val="center"/>
              </w:trPr>
              <w:tc>
                <w:tcPr>
                  <w:tcW w:w="463" w:type="pc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w:t>
                  </w:r>
                </w:p>
              </w:tc>
              <w:tc>
                <w:tcPr>
                  <w:tcW w:w="790" w:type="pc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一般污染防治区</w:t>
                  </w:r>
                </w:p>
              </w:tc>
              <w:tc>
                <w:tcPr>
                  <w:tcW w:w="1060" w:type="pc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一般固废暂存场所及一般生产区</w:t>
                  </w:r>
                </w:p>
              </w:tc>
              <w:tc>
                <w:tcPr>
                  <w:tcW w:w="2685" w:type="pc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地面基础防渗和构筑物防渗等级达到渗透系数≤1.0×10</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vertAlign w:val="superscript"/>
                    </w:rPr>
                    <w:t>7</w:t>
                  </w:r>
                  <w:r>
                    <w:rPr>
                      <w:rFonts w:hint="default" w:ascii="Times New Roman" w:hAnsi="Times New Roman" w:eastAsia="宋体" w:cs="Times New Roman"/>
                      <w:sz w:val="18"/>
                      <w:szCs w:val="18"/>
                    </w:rPr>
                    <w:t>cm/s，相当于不小于1.5m厚的粘土防护层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38" w:hRule="atLeast"/>
                <w:jc w:val="center"/>
              </w:trPr>
              <w:tc>
                <w:tcPr>
                  <w:tcW w:w="463" w:type="pct"/>
                  <w:vAlign w:val="center"/>
                </w:tcPr>
                <w:p>
                  <w:pPr>
                    <w:widowControl/>
                    <w:spacing w:line="480"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w:t>
                  </w:r>
                </w:p>
              </w:tc>
              <w:tc>
                <w:tcPr>
                  <w:tcW w:w="790" w:type="pct"/>
                  <w:vAlign w:val="center"/>
                </w:tcPr>
                <w:p>
                  <w:pPr>
                    <w:widowControl/>
                    <w:spacing w:line="480"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简单防渗区</w:t>
                  </w:r>
                </w:p>
              </w:tc>
              <w:tc>
                <w:tcPr>
                  <w:tcW w:w="1060" w:type="pct"/>
                  <w:vAlign w:val="center"/>
                </w:tcPr>
                <w:p>
                  <w:pPr>
                    <w:widowControl/>
                    <w:spacing w:line="480"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办公室</w:t>
                  </w:r>
                </w:p>
              </w:tc>
              <w:tc>
                <w:tcPr>
                  <w:tcW w:w="2685" w:type="pct"/>
                  <w:vAlign w:val="center"/>
                </w:tcPr>
                <w:p>
                  <w:pPr>
                    <w:widowControl/>
                    <w:tabs>
                      <w:tab w:val="left" w:pos="1812"/>
                    </w:tabs>
                    <w:spacing w:line="480"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一般地面硬化</w:t>
                  </w:r>
                </w:p>
              </w:tc>
            </w:tr>
          </w:tbl>
          <w:p>
            <w:pPr>
              <w:widowControl/>
              <w:shd w:val="clear" w:color="auto" w:fill="FFFFFF"/>
              <w:spacing w:line="480" w:lineRule="auto"/>
              <w:jc w:val="lef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6、生态</w:t>
            </w:r>
          </w:p>
          <w:p>
            <w:pPr>
              <w:widowControl/>
              <w:shd w:val="clear" w:color="auto" w:fill="FFFFFF"/>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本项目不涉及。</w:t>
            </w:r>
          </w:p>
          <w:p>
            <w:pPr>
              <w:widowControl/>
              <w:shd w:val="clear" w:color="auto" w:fill="FFFFFF"/>
              <w:spacing w:line="360" w:lineRule="auto"/>
              <w:jc w:val="left"/>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7、环境风险</w:t>
            </w:r>
          </w:p>
          <w:p>
            <w:pPr>
              <w:widowControl/>
              <w:shd w:val="clear" w:color="auto" w:fill="FFFFFF"/>
              <w:spacing w:line="360" w:lineRule="auto"/>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（1）风险调查</w:t>
            </w:r>
          </w:p>
          <w:p>
            <w:pPr>
              <w:widowControl/>
              <w:shd w:val="clear" w:color="auto" w:fill="FFFFFF"/>
              <w:wordWrap w:val="0"/>
              <w:spacing w:line="360" w:lineRule="auto"/>
              <w:ind w:firstLine="452" w:firstLineChars="200"/>
              <w:jc w:val="left"/>
              <w:rPr>
                <w:rFonts w:hint="default" w:ascii="Times New Roman" w:hAnsi="Times New Roman" w:eastAsia="宋体" w:cs="Times New Roman"/>
                <w:spacing w:val="8"/>
                <w:kern w:val="0"/>
                <w:sz w:val="21"/>
                <w:szCs w:val="21"/>
              </w:rPr>
            </w:pPr>
            <w:r>
              <w:rPr>
                <w:rFonts w:hint="default" w:ascii="Times New Roman" w:hAnsi="Times New Roman" w:eastAsia="宋体" w:cs="Times New Roman"/>
                <w:spacing w:val="8"/>
                <w:kern w:val="0"/>
                <w:sz w:val="21"/>
                <w:szCs w:val="21"/>
              </w:rPr>
              <w:t>对照《建设项目环境风险评价技术导则》（HJ169-2018）及《江苏省环境影响评价文件环境应急相关内容编制要点》（苏环办</w:t>
            </w:r>
            <w:r>
              <w:rPr>
                <w:rFonts w:hint="default" w:ascii="Times New Roman" w:hAnsi="Times New Roman" w:eastAsia="宋体" w:cs="Times New Roman"/>
                <w:spacing w:val="8"/>
                <w:kern w:val="0"/>
                <w:sz w:val="21"/>
                <w:szCs w:val="21"/>
                <w:lang w:eastAsia="zh-CN"/>
              </w:rPr>
              <w:t>〔</w:t>
            </w:r>
            <w:r>
              <w:rPr>
                <w:rFonts w:hint="default" w:ascii="Times New Roman" w:hAnsi="Times New Roman" w:eastAsia="宋体" w:cs="Times New Roman"/>
                <w:spacing w:val="8"/>
                <w:kern w:val="0"/>
                <w:sz w:val="21"/>
                <w:szCs w:val="21"/>
              </w:rPr>
              <w:t>2022</w:t>
            </w:r>
            <w:r>
              <w:rPr>
                <w:rFonts w:hint="default" w:ascii="Times New Roman" w:hAnsi="Times New Roman" w:eastAsia="宋体" w:cs="Times New Roman"/>
                <w:spacing w:val="8"/>
                <w:kern w:val="0"/>
                <w:sz w:val="21"/>
                <w:szCs w:val="21"/>
                <w:lang w:eastAsia="zh-CN"/>
              </w:rPr>
              <w:t>〕</w:t>
            </w:r>
            <w:r>
              <w:rPr>
                <w:rFonts w:hint="default" w:ascii="Times New Roman" w:hAnsi="Times New Roman" w:eastAsia="宋体" w:cs="Times New Roman"/>
                <w:spacing w:val="8"/>
                <w:kern w:val="0"/>
                <w:sz w:val="21"/>
                <w:szCs w:val="21"/>
              </w:rPr>
              <w:t>338号），环境风险单元主要为</w:t>
            </w:r>
            <w:r>
              <w:rPr>
                <w:rFonts w:hint="default" w:ascii="Times New Roman" w:hAnsi="Times New Roman" w:eastAsia="宋体" w:cs="Times New Roman"/>
                <w:spacing w:val="8"/>
                <w:kern w:val="0"/>
                <w:sz w:val="21"/>
                <w:szCs w:val="21"/>
                <w:lang w:eastAsia="zh-CN"/>
              </w:rPr>
              <w:t>医疗废物存储间</w:t>
            </w:r>
            <w:r>
              <w:rPr>
                <w:rFonts w:hint="default" w:ascii="Times New Roman" w:hAnsi="Times New Roman" w:eastAsia="宋体" w:cs="Times New Roman"/>
                <w:spacing w:val="8"/>
                <w:kern w:val="0"/>
                <w:sz w:val="21"/>
                <w:szCs w:val="21"/>
              </w:rPr>
              <w:t>、原料仓库</w:t>
            </w:r>
            <w:r>
              <w:rPr>
                <w:rFonts w:hint="default" w:ascii="Times New Roman" w:hAnsi="Times New Roman" w:eastAsia="宋体" w:cs="Times New Roman"/>
                <w:spacing w:val="8"/>
                <w:kern w:val="0"/>
                <w:sz w:val="21"/>
                <w:szCs w:val="21"/>
                <w:lang w:eastAsia="zh-CN"/>
              </w:rPr>
              <w:t>、</w:t>
            </w:r>
            <w:r>
              <w:rPr>
                <w:rFonts w:hint="default" w:ascii="Times New Roman" w:hAnsi="Times New Roman" w:eastAsia="宋体" w:cs="Times New Roman"/>
                <w:spacing w:val="8"/>
                <w:kern w:val="0"/>
                <w:sz w:val="21"/>
                <w:szCs w:val="21"/>
                <w:lang w:val="en-US" w:eastAsia="zh-CN"/>
              </w:rPr>
              <w:t>固废仓库</w:t>
            </w:r>
            <w:r>
              <w:rPr>
                <w:rFonts w:hint="default" w:ascii="Times New Roman" w:hAnsi="Times New Roman" w:eastAsia="宋体" w:cs="Times New Roman"/>
                <w:spacing w:val="8"/>
                <w:kern w:val="0"/>
                <w:sz w:val="21"/>
                <w:szCs w:val="21"/>
              </w:rPr>
              <w:t>，环境风险物质为</w:t>
            </w:r>
            <w:r>
              <w:rPr>
                <w:rFonts w:hint="default" w:ascii="Times New Roman" w:hAnsi="Times New Roman" w:eastAsia="宋体" w:cs="Times New Roman"/>
                <w:spacing w:val="8"/>
                <w:kern w:val="0"/>
                <w:sz w:val="21"/>
                <w:szCs w:val="21"/>
                <w:lang w:val="en-US" w:eastAsia="zh-CN"/>
              </w:rPr>
              <w:t>医用酒精、消毒液、感染性废物、病理性废物</w:t>
            </w:r>
            <w:r>
              <w:rPr>
                <w:rFonts w:hint="default" w:ascii="Times New Roman" w:hAnsi="Times New Roman" w:eastAsia="宋体" w:cs="Times New Roman"/>
                <w:spacing w:val="8"/>
                <w:kern w:val="0"/>
                <w:sz w:val="21"/>
                <w:szCs w:val="21"/>
              </w:rPr>
              <w:t>。</w:t>
            </w:r>
          </w:p>
          <w:p>
            <w:pPr>
              <w:widowControl/>
              <w:shd w:val="clear" w:color="auto" w:fill="FFFFFF"/>
              <w:spacing w:line="360" w:lineRule="auto"/>
              <w:ind w:firstLine="452" w:firstLineChars="200"/>
              <w:jc w:val="left"/>
              <w:rPr>
                <w:rFonts w:hint="default" w:ascii="Times New Roman" w:hAnsi="Times New Roman" w:eastAsia="宋体" w:cs="Times New Roman"/>
                <w:b/>
                <w:bCs/>
                <w:sz w:val="21"/>
                <w:szCs w:val="21"/>
              </w:rPr>
            </w:pPr>
            <w:r>
              <w:rPr>
                <w:rFonts w:hint="default" w:ascii="Times New Roman" w:hAnsi="Times New Roman" w:eastAsia="宋体" w:cs="Times New Roman"/>
                <w:spacing w:val="8"/>
                <w:kern w:val="0"/>
                <w:sz w:val="21"/>
                <w:szCs w:val="21"/>
              </w:rPr>
              <w:t>建设项目设计危险物质及数量见表4-</w:t>
            </w:r>
            <w:r>
              <w:rPr>
                <w:rFonts w:hint="default" w:ascii="Times New Roman" w:hAnsi="Times New Roman" w:eastAsia="宋体" w:cs="Times New Roman"/>
                <w:spacing w:val="8"/>
                <w:kern w:val="0"/>
                <w:sz w:val="21"/>
                <w:szCs w:val="21"/>
                <w:lang w:val="en-US" w:eastAsia="zh-CN"/>
              </w:rPr>
              <w:t>17</w:t>
            </w:r>
            <w:r>
              <w:rPr>
                <w:rFonts w:hint="default" w:ascii="Times New Roman" w:hAnsi="Times New Roman" w:eastAsia="宋体" w:cs="Times New Roman"/>
                <w:spacing w:val="8"/>
                <w:kern w:val="0"/>
                <w:sz w:val="21"/>
                <w:szCs w:val="21"/>
              </w:rPr>
              <w:t>。</w:t>
            </w:r>
          </w:p>
          <w:p>
            <w:pPr>
              <w:pStyle w:val="35"/>
              <w:spacing w:after="0" w:line="360" w:lineRule="auto"/>
              <w:ind w:left="0" w:leftChars="0" w:firstLine="0" w:firstLineChars="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表4-</w:t>
            </w:r>
            <w:r>
              <w:rPr>
                <w:rFonts w:hint="default" w:ascii="Times New Roman" w:hAnsi="Times New Roman" w:eastAsia="宋体" w:cs="Times New Roman"/>
                <w:b/>
                <w:bCs/>
                <w:sz w:val="21"/>
                <w:szCs w:val="21"/>
                <w:lang w:val="en-US" w:eastAsia="zh-CN"/>
              </w:rPr>
              <w:t>17</w:t>
            </w:r>
            <w:r>
              <w:rPr>
                <w:rFonts w:hint="default" w:ascii="Times New Roman" w:hAnsi="Times New Roman" w:eastAsia="宋体" w:cs="Times New Roman"/>
                <w:b/>
                <w:bCs/>
                <w:sz w:val="21"/>
                <w:szCs w:val="21"/>
              </w:rPr>
              <w:t>建设项目涉及物质及数量</w:t>
            </w:r>
          </w:p>
          <w:tbl>
            <w:tblPr>
              <w:tblStyle w:val="3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1547"/>
              <w:gridCol w:w="2013"/>
              <w:gridCol w:w="1395"/>
              <w:gridCol w:w="1703"/>
              <w:gridCol w:w="1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417" w:type="pct"/>
                  <w:vAlign w:val="center"/>
                </w:tcPr>
                <w:p>
                  <w:pPr>
                    <w:widowControl/>
                    <w:spacing w:line="360"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序号</w:t>
                  </w:r>
                </w:p>
              </w:tc>
              <w:tc>
                <w:tcPr>
                  <w:tcW w:w="873" w:type="pct"/>
                  <w:vAlign w:val="center"/>
                </w:tcPr>
                <w:p>
                  <w:pPr>
                    <w:widowControl/>
                    <w:spacing w:line="360"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名称</w:t>
                  </w:r>
                </w:p>
              </w:tc>
              <w:tc>
                <w:tcPr>
                  <w:tcW w:w="1136" w:type="pct"/>
                  <w:vAlign w:val="center"/>
                </w:tcPr>
                <w:p>
                  <w:pPr>
                    <w:widowControl/>
                    <w:spacing w:line="360"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年用量/年产生量（t）</w:t>
                  </w:r>
                </w:p>
              </w:tc>
              <w:tc>
                <w:tcPr>
                  <w:tcW w:w="787" w:type="pct"/>
                  <w:vAlign w:val="center"/>
                </w:tcPr>
                <w:p>
                  <w:pPr>
                    <w:widowControl/>
                    <w:spacing w:line="360"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储存方式</w:t>
                  </w:r>
                </w:p>
              </w:tc>
              <w:tc>
                <w:tcPr>
                  <w:tcW w:w="961" w:type="pct"/>
                  <w:vAlign w:val="center"/>
                </w:tcPr>
                <w:p>
                  <w:pPr>
                    <w:widowControl/>
                    <w:spacing w:line="360"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最大储存量（t）</w:t>
                  </w:r>
                </w:p>
              </w:tc>
              <w:tc>
                <w:tcPr>
                  <w:tcW w:w="824" w:type="pct"/>
                </w:tcPr>
                <w:p>
                  <w:pPr>
                    <w:widowControl/>
                    <w:spacing w:line="360" w:lineRule="auto"/>
                    <w:jc w:val="center"/>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存储位置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417" w:type="pc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w:t>
                  </w:r>
                </w:p>
              </w:tc>
              <w:tc>
                <w:tcPr>
                  <w:tcW w:w="873"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医用酒精</w:t>
                  </w:r>
                </w:p>
              </w:tc>
              <w:tc>
                <w:tcPr>
                  <w:tcW w:w="1136"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0.124</w:t>
                  </w:r>
                </w:p>
              </w:tc>
              <w:tc>
                <w:tcPr>
                  <w:tcW w:w="787" w:type="pct"/>
                  <w:vAlign w:val="center"/>
                </w:tcPr>
                <w:p>
                  <w:pPr>
                    <w:widowControl/>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瓶装</w:t>
                  </w:r>
                </w:p>
              </w:tc>
              <w:tc>
                <w:tcPr>
                  <w:tcW w:w="96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0.01</w:t>
                  </w:r>
                </w:p>
              </w:tc>
              <w:tc>
                <w:tcPr>
                  <w:tcW w:w="824" w:type="pct"/>
                  <w:vMerge w:val="restart"/>
                  <w:vAlign w:val="center"/>
                </w:tcPr>
                <w:p>
                  <w:pPr>
                    <w:widowControl/>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药柜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417" w:type="pc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w:t>
                  </w:r>
                </w:p>
              </w:tc>
              <w:tc>
                <w:tcPr>
                  <w:tcW w:w="873"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消毒液</w:t>
                  </w:r>
                </w:p>
              </w:tc>
              <w:tc>
                <w:tcPr>
                  <w:tcW w:w="1136"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0.05</w:t>
                  </w:r>
                </w:p>
              </w:tc>
              <w:tc>
                <w:tcPr>
                  <w:tcW w:w="787" w:type="pc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瓶装</w:t>
                  </w:r>
                </w:p>
              </w:tc>
              <w:tc>
                <w:tcPr>
                  <w:tcW w:w="96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0.004</w:t>
                  </w:r>
                </w:p>
              </w:tc>
              <w:tc>
                <w:tcPr>
                  <w:tcW w:w="824" w:type="pct"/>
                  <w:vMerge w:val="continue"/>
                  <w:vAlign w:val="center"/>
                </w:tcPr>
                <w:p>
                  <w:pPr>
                    <w:widowControl/>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417" w:type="pct"/>
                  <w:vAlign w:val="center"/>
                </w:tcPr>
                <w:p>
                  <w:pPr>
                    <w:widowControl/>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873" w:type="pct"/>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感染性废物</w:t>
                  </w:r>
                </w:p>
              </w:tc>
              <w:tc>
                <w:tcPr>
                  <w:tcW w:w="1136"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kern w:val="2"/>
                      <w:sz w:val="18"/>
                      <w:szCs w:val="18"/>
                      <w:lang w:val="en-US" w:eastAsia="zh-CN"/>
                    </w:rPr>
                    <w:t>0.1</w:t>
                  </w:r>
                </w:p>
              </w:tc>
              <w:tc>
                <w:tcPr>
                  <w:tcW w:w="787" w:type="pct"/>
                  <w:vAlign w:val="center"/>
                </w:tcPr>
                <w:p>
                  <w:pPr>
                    <w:widowControl/>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袋装</w:t>
                  </w:r>
                </w:p>
              </w:tc>
              <w:tc>
                <w:tcPr>
                  <w:tcW w:w="96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0.0006</w:t>
                  </w:r>
                </w:p>
              </w:tc>
              <w:tc>
                <w:tcPr>
                  <w:tcW w:w="824" w:type="pct"/>
                  <w:vMerge w:val="restart"/>
                  <w:vAlign w:val="center"/>
                </w:tcPr>
                <w:p>
                  <w:pPr>
                    <w:widowControl/>
                    <w:jc w:val="center"/>
                    <w:rPr>
                      <w:rFonts w:hint="default" w:ascii="Times New Roman" w:hAnsi="Times New Roman" w:eastAsia="宋体" w:cs="Times New Roman"/>
                      <w:sz w:val="18"/>
                      <w:szCs w:val="18"/>
                    </w:rPr>
                  </w:pPr>
                  <w:r>
                    <w:rPr>
                      <w:rFonts w:hint="default" w:ascii="Times New Roman" w:hAnsi="Times New Roman" w:eastAsia="宋体" w:cs="Times New Roman"/>
                      <w:color w:val="auto"/>
                      <w:sz w:val="18"/>
                      <w:szCs w:val="18"/>
                      <w:lang w:val="en-US" w:eastAsia="zh-CN"/>
                    </w:rPr>
                    <w:t>医疗废物存储间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417" w:type="pct"/>
                  <w:vAlign w:val="center"/>
                </w:tcPr>
                <w:p>
                  <w:pPr>
                    <w:widowControl/>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873" w:type="pct"/>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病理性废物</w:t>
                  </w:r>
                </w:p>
              </w:tc>
              <w:tc>
                <w:tcPr>
                  <w:tcW w:w="1136"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kern w:val="2"/>
                      <w:sz w:val="18"/>
                      <w:szCs w:val="18"/>
                      <w:lang w:val="en-US" w:eastAsia="zh-CN"/>
                    </w:rPr>
                    <w:t>0.1</w:t>
                  </w:r>
                </w:p>
              </w:tc>
              <w:tc>
                <w:tcPr>
                  <w:tcW w:w="787" w:type="pct"/>
                  <w:vAlign w:val="center"/>
                </w:tcPr>
                <w:p>
                  <w:pPr>
                    <w:widowControl/>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袋装</w:t>
                  </w:r>
                </w:p>
              </w:tc>
              <w:tc>
                <w:tcPr>
                  <w:tcW w:w="961" w:type="pc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0.0006</w:t>
                  </w:r>
                </w:p>
              </w:tc>
              <w:tc>
                <w:tcPr>
                  <w:tcW w:w="824" w:type="pct"/>
                  <w:vMerge w:val="continue"/>
                  <w:vAlign w:val="center"/>
                </w:tcPr>
                <w:p>
                  <w:pPr>
                    <w:widowControl/>
                    <w:jc w:val="center"/>
                    <w:rPr>
                      <w:rFonts w:hint="default" w:ascii="Times New Roman" w:hAnsi="Times New Roman" w:eastAsia="宋体" w:cs="Times New Roman"/>
                      <w:sz w:val="18"/>
                      <w:szCs w:val="18"/>
                    </w:rPr>
                  </w:pPr>
                </w:p>
              </w:tc>
            </w:tr>
          </w:tbl>
          <w:p>
            <w:pPr>
              <w:widowControl/>
              <w:shd w:val="clear" w:color="auto" w:fill="FFFFFF"/>
              <w:spacing w:line="360" w:lineRule="auto"/>
              <w:jc w:val="left"/>
              <w:rPr>
                <w:rFonts w:hint="eastAsia" w:ascii="宋体" w:hAnsi="宋体" w:eastAsia="宋体" w:cs="宋体"/>
                <w:sz w:val="21"/>
                <w:szCs w:val="21"/>
              </w:rPr>
            </w:pPr>
            <w:r>
              <w:rPr>
                <w:rFonts w:hint="eastAsia" w:ascii="宋体" w:hAnsi="宋体" w:eastAsia="宋体" w:cs="宋体"/>
                <w:color w:val="auto"/>
                <w:sz w:val="21"/>
                <w:szCs w:val="21"/>
                <w:highlight w:val="none"/>
              </w:rPr>
              <w:t>（2）风险潜势初判</w:t>
            </w:r>
          </w:p>
          <w:p>
            <w:pPr>
              <w:widowControl/>
              <w:shd w:val="clear" w:color="auto" w:fill="FFFFFF"/>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根据《建设项目环境风险评价技术导则》（HJ169-2018），对照附录B表B.1、B.2内容和《危险化学品重大危险源辨识》（GB18218-2018），计算本项目所涉及的每种危险物质在厂界内的最大存在总量与其在附录B中对应临界量的比值Q。当只涉及一种危险物质时，计算该物质的总量与其临界量比值，即为Q；当存在多种危险物质时，则按式（C.1）计算物质总量与其临界量比值（Q）；</w:t>
            </w:r>
          </w:p>
          <w:p>
            <w:pPr>
              <w:tabs>
                <w:tab w:val="left" w:pos="851"/>
                <w:tab w:val="left" w:pos="1134"/>
                <w:tab w:val="left" w:pos="1276"/>
              </w:tabs>
              <w:spacing w:line="360" w:lineRule="auto"/>
              <w:ind w:firstLine="420" w:firstLineChars="200"/>
              <w:jc w:val="center"/>
              <w:rPr>
                <w:rFonts w:hint="eastAsia" w:ascii="宋体" w:hAnsi="宋体" w:eastAsia="宋体" w:cs="宋体"/>
                <w:color w:val="FF0000"/>
                <w:sz w:val="21"/>
                <w:szCs w:val="21"/>
              </w:rPr>
            </w:pPr>
            <w:r>
              <w:rPr>
                <w:rFonts w:hint="eastAsia" w:ascii="宋体" w:hAnsi="宋体" w:eastAsia="宋体" w:cs="宋体"/>
                <w:color w:val="FF0000"/>
                <w:sz w:val="21"/>
                <w:szCs w:val="21"/>
              </w:rPr>
              <w:drawing>
                <wp:inline distT="0" distB="0" distL="114300" distR="114300">
                  <wp:extent cx="1821180" cy="502920"/>
                  <wp:effectExtent l="0" t="0" r="7620" b="11430"/>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7"/>
                          <pic:cNvPicPr>
                            <a:picLocks noChangeAspect="1"/>
                          </pic:cNvPicPr>
                        </pic:nvPicPr>
                        <pic:blipFill>
                          <a:blip r:embed="rId18"/>
                          <a:stretch>
                            <a:fillRect/>
                          </a:stretch>
                        </pic:blipFill>
                        <pic:spPr>
                          <a:xfrm>
                            <a:off x="0" y="0"/>
                            <a:ext cx="1821180" cy="502920"/>
                          </a:xfrm>
                          <a:prstGeom prst="rect">
                            <a:avLst/>
                          </a:prstGeom>
                          <a:noFill/>
                          <a:ln>
                            <a:noFill/>
                          </a:ln>
                        </pic:spPr>
                      </pic:pic>
                    </a:graphicData>
                  </a:graphic>
                </wp:inline>
              </w:drawing>
            </w:r>
          </w:p>
          <w:p>
            <w:pPr>
              <w:tabs>
                <w:tab w:val="left" w:pos="851"/>
                <w:tab w:val="left" w:pos="1134"/>
                <w:tab w:val="left" w:pos="1276"/>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式中：q1、q2……qn——每种危险物质的最大存在总量，t；</w:t>
            </w:r>
          </w:p>
          <w:p>
            <w:pPr>
              <w:pStyle w:val="18"/>
              <w:rPr>
                <w:rFonts w:hint="eastAsia" w:ascii="宋体" w:hAnsi="宋体" w:eastAsia="宋体" w:cs="宋体"/>
                <w:sz w:val="21"/>
                <w:szCs w:val="21"/>
              </w:rPr>
            </w:pPr>
            <w:r>
              <w:rPr>
                <w:rFonts w:hint="eastAsia" w:ascii="宋体" w:hAnsi="宋体" w:eastAsia="宋体" w:cs="宋体"/>
                <w:sz w:val="21"/>
                <w:szCs w:val="21"/>
              </w:rPr>
              <w:t>Q1、Q2……Qn——每种危险物质的临界量，t。</w:t>
            </w:r>
          </w:p>
          <w:p>
            <w:pPr>
              <w:pStyle w:val="18"/>
              <w:rPr>
                <w:rFonts w:hint="eastAsia" w:ascii="宋体" w:hAnsi="宋体" w:eastAsia="宋体" w:cs="宋体"/>
                <w:sz w:val="21"/>
                <w:szCs w:val="21"/>
              </w:rPr>
            </w:pPr>
            <w:r>
              <w:rPr>
                <w:rFonts w:hint="eastAsia" w:ascii="宋体" w:hAnsi="宋体" w:eastAsia="宋体" w:cs="宋体"/>
                <w:sz w:val="21"/>
                <w:szCs w:val="21"/>
              </w:rPr>
              <w:t>当Q＜1时，该项目环境风险潜势为I，当Q≥1时，将Q值划分为1≤Q＜10；</w:t>
            </w:r>
          </w:p>
          <w:p>
            <w:pPr>
              <w:tabs>
                <w:tab w:val="left" w:pos="851"/>
                <w:tab w:val="left" w:pos="1134"/>
                <w:tab w:val="left" w:pos="1276"/>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10≤Q＜100；Q≥100。</w:t>
            </w:r>
          </w:p>
          <w:p>
            <w:pPr>
              <w:widowControl/>
              <w:shd w:val="clear" w:color="auto" w:fill="FFFFFF"/>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对照《建设项目环境风险评价技术导则》（HJ169-2018）附录B，医疗废物无毒性毒理数据，临界量按照从严原则参考第八部分其他类物质及污染物中健康危险急性毒性物质（类别1）临界量为5t。本项目各物质的临界量计算如下表4-</w:t>
            </w:r>
            <w:r>
              <w:rPr>
                <w:rFonts w:hint="eastAsia" w:ascii="宋体" w:hAnsi="宋体" w:eastAsia="宋体" w:cs="宋体"/>
                <w:sz w:val="21"/>
                <w:szCs w:val="21"/>
                <w:lang w:val="en-US" w:eastAsia="zh-CN"/>
              </w:rPr>
              <w:t>18</w:t>
            </w:r>
            <w:r>
              <w:rPr>
                <w:rFonts w:hint="eastAsia" w:ascii="宋体" w:hAnsi="宋体" w:eastAsia="宋体" w:cs="宋体"/>
                <w:sz w:val="21"/>
                <w:szCs w:val="21"/>
              </w:rPr>
              <w:t>。</w:t>
            </w:r>
          </w:p>
          <w:p>
            <w:pPr>
              <w:pStyle w:val="35"/>
              <w:spacing w:after="0"/>
              <w:ind w:left="0" w:leftChars="0" w:firstLine="0" w:firstLineChars="0"/>
              <w:jc w:val="center"/>
              <w:rPr>
                <w:rFonts w:hint="eastAsia" w:ascii="宋体" w:hAnsi="宋体" w:eastAsia="宋体" w:cs="宋体"/>
                <w:b/>
                <w:bCs/>
                <w:sz w:val="21"/>
                <w:szCs w:val="21"/>
              </w:rPr>
            </w:pPr>
            <w:r>
              <w:rPr>
                <w:rFonts w:hint="eastAsia" w:ascii="宋体" w:hAnsi="宋体" w:eastAsia="宋体" w:cs="宋体"/>
                <w:b/>
                <w:bCs/>
                <w:sz w:val="21"/>
                <w:szCs w:val="21"/>
              </w:rPr>
              <w:t>表4-</w:t>
            </w:r>
            <w:r>
              <w:rPr>
                <w:rFonts w:hint="eastAsia" w:ascii="宋体" w:hAnsi="宋体" w:eastAsia="宋体" w:cs="宋体"/>
                <w:b/>
                <w:bCs/>
                <w:sz w:val="21"/>
                <w:szCs w:val="21"/>
                <w:lang w:val="en-US" w:eastAsia="zh-CN"/>
              </w:rPr>
              <w:t>18</w:t>
            </w:r>
            <w:r>
              <w:rPr>
                <w:rFonts w:hint="eastAsia" w:ascii="宋体" w:hAnsi="宋体" w:eastAsia="宋体" w:cs="宋体"/>
                <w:b/>
                <w:bCs/>
                <w:sz w:val="21"/>
                <w:szCs w:val="21"/>
              </w:rPr>
              <w:t>涉及的主要物质的最大储存量和辨识情况</w:t>
            </w:r>
          </w:p>
          <w:tbl>
            <w:tblPr>
              <w:tblStyle w:val="36"/>
              <w:tblW w:w="4997"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41"/>
              <w:gridCol w:w="1557"/>
              <w:gridCol w:w="1206"/>
              <w:gridCol w:w="2005"/>
              <w:gridCol w:w="1379"/>
              <w:gridCol w:w="207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362" w:type="pct"/>
                  <w:vAlign w:val="center"/>
                </w:tcPr>
                <w:p>
                  <w:pPr>
                    <w:widowControl/>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序号</w:t>
                  </w:r>
                </w:p>
              </w:tc>
              <w:tc>
                <w:tcPr>
                  <w:tcW w:w="878" w:type="pct"/>
                  <w:vAlign w:val="center"/>
                </w:tcPr>
                <w:p>
                  <w:pPr>
                    <w:widowControl/>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危险物质名称</w:t>
                  </w:r>
                </w:p>
              </w:tc>
              <w:tc>
                <w:tcPr>
                  <w:tcW w:w="680" w:type="pct"/>
                  <w:vAlign w:val="center"/>
                </w:tcPr>
                <w:p>
                  <w:pPr>
                    <w:widowControl/>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CAS号</w:t>
                  </w:r>
                </w:p>
              </w:tc>
              <w:tc>
                <w:tcPr>
                  <w:tcW w:w="1131" w:type="pct"/>
                  <w:vAlign w:val="center"/>
                </w:tcPr>
                <w:p>
                  <w:pPr>
                    <w:widowControl/>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最大存在总量qn/t</w:t>
                  </w:r>
                </w:p>
              </w:tc>
              <w:tc>
                <w:tcPr>
                  <w:tcW w:w="776" w:type="pct"/>
                  <w:vAlign w:val="center"/>
                </w:tcPr>
                <w:p>
                  <w:pPr>
                    <w:widowControl/>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临界量Qn/t</w:t>
                  </w:r>
                </w:p>
              </w:tc>
              <w:tc>
                <w:tcPr>
                  <w:tcW w:w="1170" w:type="pct"/>
                  <w:vAlign w:val="center"/>
                </w:tcPr>
                <w:p>
                  <w:pPr>
                    <w:widowControl/>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该种危险物质Q值</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362" w:type="pct"/>
                  <w:vAlign w:val="center"/>
                </w:tcPr>
                <w:p>
                  <w:pPr>
                    <w:widowControl/>
                    <w:jc w:val="center"/>
                    <w:rPr>
                      <w:rFonts w:hint="default" w:ascii="Times New Roman" w:hAnsi="Times New Roman" w:cs="Times New Roman"/>
                      <w:sz w:val="18"/>
                      <w:szCs w:val="18"/>
                    </w:rPr>
                  </w:pPr>
                  <w:r>
                    <w:rPr>
                      <w:rFonts w:hint="default" w:ascii="Times New Roman" w:hAnsi="Times New Roman" w:cs="Times New Roman"/>
                      <w:sz w:val="18"/>
                      <w:szCs w:val="18"/>
                    </w:rPr>
                    <w:t>1</w:t>
                  </w:r>
                </w:p>
              </w:tc>
              <w:tc>
                <w:tcPr>
                  <w:tcW w:w="878"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lang w:val="en-US" w:eastAsia="zh-CN"/>
                    </w:rPr>
                    <w:t>医用酒精</w:t>
                  </w:r>
                </w:p>
              </w:tc>
              <w:tc>
                <w:tcPr>
                  <w:tcW w:w="680" w:type="pct"/>
                  <w:vAlign w:val="center"/>
                </w:tcPr>
                <w:p>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64-17-5</w:t>
                  </w:r>
                </w:p>
              </w:tc>
              <w:tc>
                <w:tcPr>
                  <w:tcW w:w="1131"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lang w:val="en-US" w:eastAsia="zh-CN"/>
                    </w:rPr>
                    <w:t>0.01</w:t>
                  </w:r>
                </w:p>
              </w:tc>
              <w:tc>
                <w:tcPr>
                  <w:tcW w:w="776" w:type="pct"/>
                  <w:vAlign w:val="center"/>
                </w:tcPr>
                <w:p>
                  <w:pPr>
                    <w:widowControl/>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500</w:t>
                  </w:r>
                </w:p>
              </w:tc>
              <w:tc>
                <w:tcPr>
                  <w:tcW w:w="1170" w:type="pct"/>
                  <w:vAlign w:val="center"/>
                </w:tcPr>
                <w:p>
                  <w:pPr>
                    <w:widowControl/>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0.00002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362" w:type="pct"/>
                  <w:vAlign w:val="center"/>
                </w:tcPr>
                <w:p>
                  <w:pPr>
                    <w:widowControl/>
                    <w:jc w:val="center"/>
                    <w:rPr>
                      <w:rFonts w:hint="default" w:ascii="Times New Roman" w:hAnsi="Times New Roman" w:cs="Times New Roman"/>
                      <w:sz w:val="18"/>
                      <w:szCs w:val="18"/>
                    </w:rPr>
                  </w:pPr>
                  <w:r>
                    <w:rPr>
                      <w:rFonts w:hint="default" w:ascii="Times New Roman" w:hAnsi="Times New Roman" w:cs="Times New Roman"/>
                      <w:sz w:val="18"/>
                      <w:szCs w:val="18"/>
                    </w:rPr>
                    <w:t>2</w:t>
                  </w:r>
                </w:p>
              </w:tc>
              <w:tc>
                <w:tcPr>
                  <w:tcW w:w="878"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lang w:val="en-US" w:eastAsia="zh-CN"/>
                    </w:rPr>
                    <w:t>消毒液（次氯酸钠）</w:t>
                  </w:r>
                </w:p>
              </w:tc>
              <w:tc>
                <w:tcPr>
                  <w:tcW w:w="680" w:type="pct"/>
                  <w:vAlign w:val="center"/>
                </w:tcPr>
                <w:p>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7681-52-9</w:t>
                  </w:r>
                </w:p>
              </w:tc>
              <w:tc>
                <w:tcPr>
                  <w:tcW w:w="1131" w:type="pct"/>
                  <w:vAlign w:val="center"/>
                </w:tcPr>
                <w:p>
                  <w:pPr>
                    <w:jc w:val="center"/>
                    <w:rPr>
                      <w:rFonts w:hint="default" w:ascii="Times New Roman" w:hAnsi="Times New Roman" w:cs="Times New Roman"/>
                      <w:sz w:val="18"/>
                      <w:szCs w:val="18"/>
                    </w:rPr>
                  </w:pPr>
                  <w:r>
                    <w:rPr>
                      <w:rFonts w:hint="default" w:ascii="Times New Roman" w:hAnsi="Times New Roman" w:cs="Times New Roman"/>
                      <w:sz w:val="18"/>
                      <w:szCs w:val="18"/>
                      <w:lang w:val="en-US" w:eastAsia="zh-CN"/>
                    </w:rPr>
                    <w:t>0.004</w:t>
                  </w:r>
                </w:p>
              </w:tc>
              <w:tc>
                <w:tcPr>
                  <w:tcW w:w="776" w:type="pct"/>
                  <w:vAlign w:val="center"/>
                </w:tcPr>
                <w:p>
                  <w:pPr>
                    <w:widowControl/>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5</w:t>
                  </w:r>
                </w:p>
              </w:tc>
              <w:tc>
                <w:tcPr>
                  <w:tcW w:w="1170" w:type="pct"/>
                  <w:vAlign w:val="center"/>
                </w:tcPr>
                <w:p>
                  <w:pPr>
                    <w:widowControl/>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0.0008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362" w:type="pct"/>
                  <w:vAlign w:val="center"/>
                </w:tcPr>
                <w:p>
                  <w:pPr>
                    <w:widowControl/>
                    <w:jc w:val="center"/>
                    <w:rPr>
                      <w:rFonts w:hint="default" w:ascii="Times New Roman" w:hAnsi="Times New Roman" w:cs="Times New Roman"/>
                      <w:sz w:val="18"/>
                      <w:szCs w:val="18"/>
                    </w:rPr>
                  </w:pPr>
                </w:p>
              </w:tc>
              <w:tc>
                <w:tcPr>
                  <w:tcW w:w="878" w:type="pct"/>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感染性废物</w:t>
                  </w:r>
                </w:p>
              </w:tc>
              <w:tc>
                <w:tcPr>
                  <w:tcW w:w="680" w:type="pct"/>
                  <w:vAlign w:val="center"/>
                </w:tcPr>
                <w:p>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w:t>
                  </w:r>
                </w:p>
              </w:tc>
              <w:tc>
                <w:tcPr>
                  <w:tcW w:w="1131" w:type="pct"/>
                  <w:vAlign w:val="center"/>
                </w:tcPr>
                <w:p>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0.1</w:t>
                  </w:r>
                </w:p>
              </w:tc>
              <w:tc>
                <w:tcPr>
                  <w:tcW w:w="776" w:type="pct"/>
                  <w:vAlign w:val="center"/>
                </w:tcPr>
                <w:p>
                  <w:pPr>
                    <w:widowControl/>
                    <w:adjustRightInd w:val="0"/>
                    <w:snapToGrid w:val="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5</w:t>
                  </w:r>
                </w:p>
              </w:tc>
              <w:tc>
                <w:tcPr>
                  <w:tcW w:w="1170" w:type="pct"/>
                  <w:vAlign w:val="center"/>
                </w:tcPr>
                <w:p>
                  <w:pPr>
                    <w:widowControl/>
                    <w:adjustRightInd w:val="0"/>
                    <w:snapToGrid w:val="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0.02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362" w:type="pct"/>
                  <w:vAlign w:val="center"/>
                </w:tcPr>
                <w:p>
                  <w:pPr>
                    <w:widowControl/>
                    <w:jc w:val="center"/>
                    <w:rPr>
                      <w:rFonts w:hint="default" w:ascii="Times New Roman" w:hAnsi="Times New Roman" w:cs="Times New Roman"/>
                      <w:sz w:val="18"/>
                      <w:szCs w:val="18"/>
                    </w:rPr>
                  </w:pPr>
                </w:p>
              </w:tc>
              <w:tc>
                <w:tcPr>
                  <w:tcW w:w="878" w:type="pct"/>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病理性废物</w:t>
                  </w:r>
                </w:p>
              </w:tc>
              <w:tc>
                <w:tcPr>
                  <w:tcW w:w="680" w:type="pct"/>
                  <w:vAlign w:val="center"/>
                </w:tcPr>
                <w:p>
                  <w:pPr>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w:t>
                  </w:r>
                </w:p>
              </w:tc>
              <w:tc>
                <w:tcPr>
                  <w:tcW w:w="1131" w:type="pct"/>
                  <w:vAlign w:val="center"/>
                </w:tcPr>
                <w:p>
                  <w:pPr>
                    <w:jc w:val="center"/>
                    <w:rPr>
                      <w:rFonts w:hint="default" w:ascii="Times New Roman" w:hAnsi="Times New Roman" w:eastAsia="宋体" w:cs="Times New Roman"/>
                      <w:kern w:val="2"/>
                      <w:sz w:val="18"/>
                      <w:szCs w:val="18"/>
                      <w:lang w:val="en-US" w:eastAsia="zh-CN" w:bidi="ar-SA"/>
                    </w:rPr>
                  </w:pPr>
                  <w:r>
                    <w:rPr>
                      <w:rFonts w:hint="default" w:ascii="Times New Roman" w:hAnsi="Times New Roman" w:cs="Times New Roman"/>
                      <w:sz w:val="18"/>
                      <w:szCs w:val="18"/>
                      <w:lang w:val="en-US" w:eastAsia="zh-CN"/>
                    </w:rPr>
                    <w:t>0.1</w:t>
                  </w:r>
                </w:p>
              </w:tc>
              <w:tc>
                <w:tcPr>
                  <w:tcW w:w="776" w:type="pct"/>
                  <w:vAlign w:val="center"/>
                </w:tcPr>
                <w:p>
                  <w:pPr>
                    <w:widowControl/>
                    <w:adjustRightInd w:val="0"/>
                    <w:snapToGrid w:val="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5</w:t>
                  </w:r>
                </w:p>
              </w:tc>
              <w:tc>
                <w:tcPr>
                  <w:tcW w:w="1170" w:type="pct"/>
                  <w:vAlign w:val="center"/>
                </w:tcPr>
                <w:p>
                  <w:pPr>
                    <w:widowControl/>
                    <w:adjustRightInd w:val="0"/>
                    <w:snapToGrid w:val="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0.02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40" w:hRule="atLeast"/>
                <w:jc w:val="center"/>
              </w:trPr>
              <w:tc>
                <w:tcPr>
                  <w:tcW w:w="3829" w:type="pct"/>
                  <w:gridSpan w:val="5"/>
                  <w:vAlign w:val="center"/>
                </w:tcPr>
                <w:p>
                  <w:pPr>
                    <w:widowControl/>
                    <w:adjustRightInd w:val="0"/>
                    <w:snapToGrid w:val="0"/>
                    <w:jc w:val="center"/>
                    <w:rPr>
                      <w:rFonts w:hint="default" w:ascii="Times New Roman" w:hAnsi="Times New Roman" w:cs="Times New Roman"/>
                      <w:sz w:val="18"/>
                      <w:szCs w:val="18"/>
                    </w:rPr>
                  </w:pPr>
                  <w:r>
                    <w:rPr>
                      <w:rFonts w:hint="default" w:ascii="Times New Roman" w:hAnsi="Times New Roman" w:cs="Times New Roman"/>
                      <w:sz w:val="18"/>
                      <w:szCs w:val="18"/>
                    </w:rPr>
                    <w:t>项目Q值∑</w:t>
                  </w:r>
                </w:p>
              </w:tc>
              <w:tc>
                <w:tcPr>
                  <w:tcW w:w="1170" w:type="pct"/>
                  <w:vAlign w:val="center"/>
                </w:tcPr>
                <w:p>
                  <w:pPr>
                    <w:widowControl/>
                    <w:adjustRightInd w:val="0"/>
                    <w:snapToGrid w:val="0"/>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0.04082</w:t>
                  </w:r>
                </w:p>
              </w:tc>
            </w:tr>
          </w:tbl>
          <w:p>
            <w:pPr>
              <w:widowControl/>
              <w:shd w:val="clear" w:color="auto" w:fill="FFFFFF"/>
              <w:spacing w:line="360" w:lineRule="auto"/>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本项目危险物质临界量的比值Q＜1。该项目环境风险潜势为Ⅰ</w:t>
            </w:r>
          </w:p>
          <w:p>
            <w:pPr>
              <w:widowControl/>
              <w:shd w:val="clear" w:color="auto" w:fill="FFFFFF"/>
              <w:spacing w:line="360" w:lineRule="auto"/>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（3）环境风险识别</w:t>
            </w:r>
          </w:p>
          <w:p>
            <w:pPr>
              <w:widowControl/>
              <w:shd w:val="clear" w:color="auto" w:fill="FFFFFF"/>
              <w:spacing w:line="360" w:lineRule="auto"/>
              <w:ind w:firstLine="420" w:firstLineChars="200"/>
              <w:jc w:val="left"/>
              <w:rPr>
                <w:rFonts w:hint="default" w:ascii="Times New Roman" w:hAnsi="Times New Roman" w:eastAsia="宋体" w:cs="Times New Roman"/>
                <w:b/>
                <w:bCs/>
                <w:sz w:val="21"/>
                <w:szCs w:val="21"/>
              </w:rPr>
            </w:pPr>
            <w:r>
              <w:rPr>
                <w:rFonts w:hint="default" w:ascii="Times New Roman" w:hAnsi="Times New Roman" w:eastAsia="宋体" w:cs="Times New Roman"/>
                <w:sz w:val="21"/>
                <w:szCs w:val="21"/>
              </w:rPr>
              <w:t>本项目主要环境风险识别见下表：</w:t>
            </w:r>
          </w:p>
          <w:p>
            <w:pPr>
              <w:pStyle w:val="35"/>
              <w:spacing w:after="0"/>
              <w:ind w:left="0" w:leftChars="0" w:firstLine="0" w:firstLineChars="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表4-</w:t>
            </w:r>
            <w:r>
              <w:rPr>
                <w:rFonts w:hint="default" w:ascii="Times New Roman" w:hAnsi="Times New Roman" w:eastAsia="宋体" w:cs="Times New Roman"/>
                <w:b/>
                <w:bCs/>
                <w:sz w:val="21"/>
                <w:szCs w:val="21"/>
                <w:lang w:val="en-US" w:eastAsia="zh-CN"/>
              </w:rPr>
              <w:t>19</w:t>
            </w:r>
            <w:r>
              <w:rPr>
                <w:rFonts w:hint="default" w:ascii="Times New Roman" w:hAnsi="Times New Roman" w:eastAsia="宋体" w:cs="Times New Roman"/>
                <w:b/>
                <w:bCs/>
                <w:sz w:val="21"/>
                <w:szCs w:val="21"/>
              </w:rPr>
              <w:t>本项目涉及的主要危险物质环境风险识别</w:t>
            </w:r>
          </w:p>
          <w:tbl>
            <w:tblPr>
              <w:tblStyle w:val="36"/>
              <w:tblW w:w="4997"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27"/>
              <w:gridCol w:w="766"/>
              <w:gridCol w:w="1763"/>
              <w:gridCol w:w="1128"/>
              <w:gridCol w:w="1023"/>
              <w:gridCol w:w="2313"/>
              <w:gridCol w:w="134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32" w:hRule="atLeast"/>
                <w:jc w:val="center"/>
              </w:trPr>
              <w:tc>
                <w:tcPr>
                  <w:tcW w:w="297" w:type="pct"/>
                  <w:vAlign w:val="center"/>
                </w:tcPr>
                <w:p>
                  <w:pPr>
                    <w:widowControl/>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序号</w:t>
                  </w:r>
                </w:p>
              </w:tc>
              <w:tc>
                <w:tcPr>
                  <w:tcW w:w="432" w:type="pct"/>
                  <w:vAlign w:val="center"/>
                </w:tcPr>
                <w:p>
                  <w:pPr>
                    <w:widowControl/>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危险单元</w:t>
                  </w:r>
                </w:p>
              </w:tc>
              <w:tc>
                <w:tcPr>
                  <w:tcW w:w="994" w:type="pct"/>
                  <w:vAlign w:val="center"/>
                </w:tcPr>
                <w:p>
                  <w:pPr>
                    <w:widowControl/>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风险源</w:t>
                  </w:r>
                </w:p>
              </w:tc>
              <w:tc>
                <w:tcPr>
                  <w:tcW w:w="636" w:type="pct"/>
                  <w:vAlign w:val="center"/>
                </w:tcPr>
                <w:p>
                  <w:pPr>
                    <w:widowControl/>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主要危险物质</w:t>
                  </w:r>
                </w:p>
              </w:tc>
              <w:tc>
                <w:tcPr>
                  <w:tcW w:w="577" w:type="pct"/>
                  <w:vAlign w:val="center"/>
                </w:tcPr>
                <w:p>
                  <w:pPr>
                    <w:widowControl/>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环境风险类型</w:t>
                  </w:r>
                </w:p>
              </w:tc>
              <w:tc>
                <w:tcPr>
                  <w:tcW w:w="1304" w:type="pct"/>
                  <w:vAlign w:val="center"/>
                </w:tcPr>
                <w:p>
                  <w:pPr>
                    <w:widowControl/>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环境影响途径</w:t>
                  </w:r>
                </w:p>
              </w:tc>
              <w:tc>
                <w:tcPr>
                  <w:tcW w:w="757" w:type="pct"/>
                  <w:vAlign w:val="center"/>
                </w:tcPr>
                <w:p>
                  <w:pPr>
                    <w:widowControl/>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可能受影响的环境敏感目标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32" w:hRule="atLeast"/>
                <w:jc w:val="center"/>
              </w:trPr>
              <w:tc>
                <w:tcPr>
                  <w:tcW w:w="297" w:type="pct"/>
                  <w:vAlign w:val="center"/>
                </w:tcPr>
                <w:p>
                  <w:pPr>
                    <w:widowControl/>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1</w:t>
                  </w:r>
                </w:p>
              </w:tc>
              <w:tc>
                <w:tcPr>
                  <w:tcW w:w="432" w:type="pct"/>
                  <w:vAlign w:val="center"/>
                </w:tcPr>
                <w:p>
                  <w:pPr>
                    <w:widowControl/>
                    <w:adjustRightInd w:val="0"/>
                    <w:snapToGrid w:val="0"/>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危废暂存区</w:t>
                  </w:r>
                </w:p>
              </w:tc>
              <w:tc>
                <w:tcPr>
                  <w:tcW w:w="994" w:type="pct"/>
                  <w:vMerge w:val="restart"/>
                  <w:vAlign w:val="center"/>
                </w:tcPr>
                <w:p>
                  <w:pPr>
                    <w:widowControl/>
                    <w:wordWrap w:val="0"/>
                    <w:adjustRightInd w:val="0"/>
                    <w:snapToGrid w:val="0"/>
                    <w:jc w:val="center"/>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医用酒精、消毒液</w:t>
                  </w:r>
                </w:p>
              </w:tc>
              <w:tc>
                <w:tcPr>
                  <w:tcW w:w="636" w:type="pct"/>
                  <w:vMerge w:val="restart"/>
                  <w:vAlign w:val="center"/>
                </w:tcPr>
                <w:p>
                  <w:pPr>
                    <w:widowControl/>
                    <w:adjustRightInd w:val="0"/>
                    <w:snapToGrid w:val="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酒精、次氯酸钠</w:t>
                  </w:r>
                </w:p>
              </w:tc>
              <w:tc>
                <w:tcPr>
                  <w:tcW w:w="577" w:type="pct"/>
                  <w:vMerge w:val="restart"/>
                  <w:vAlign w:val="center"/>
                </w:tcPr>
                <w:p>
                  <w:pPr>
                    <w:widowControl/>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危险物质泄漏、火灾</w:t>
                  </w:r>
                </w:p>
              </w:tc>
              <w:tc>
                <w:tcPr>
                  <w:tcW w:w="1304" w:type="pct"/>
                  <w:vMerge w:val="restart"/>
                  <w:vAlign w:val="center"/>
                </w:tcPr>
                <w:p>
                  <w:pPr>
                    <w:widowControl/>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物质发生火灾产生</w:t>
                  </w:r>
                  <w:r>
                    <w:rPr>
                      <w:rFonts w:hint="eastAsia" w:ascii="宋体" w:hAnsi="宋体" w:eastAsia="宋体" w:cs="宋体"/>
                      <w:sz w:val="18"/>
                      <w:szCs w:val="18"/>
                      <w:lang w:val="en-US" w:eastAsia="zh-CN"/>
                    </w:rPr>
                    <w:t>Hcl、</w:t>
                  </w:r>
                  <w:r>
                    <w:rPr>
                      <w:rFonts w:hint="eastAsia" w:ascii="宋体" w:hAnsi="宋体" w:eastAsia="宋体" w:cs="宋体"/>
                      <w:sz w:val="18"/>
                      <w:szCs w:val="18"/>
                    </w:rPr>
                    <w:t>SO</w:t>
                  </w:r>
                  <w:r>
                    <w:rPr>
                      <w:rFonts w:hint="eastAsia" w:ascii="宋体" w:hAnsi="宋体" w:eastAsia="宋体" w:cs="宋体"/>
                      <w:sz w:val="18"/>
                      <w:szCs w:val="18"/>
                      <w:vertAlign w:val="subscript"/>
                    </w:rPr>
                    <w:t>2</w:t>
                  </w:r>
                  <w:r>
                    <w:rPr>
                      <w:rFonts w:hint="eastAsia" w:ascii="宋体" w:hAnsi="宋体" w:eastAsia="宋体" w:cs="宋体"/>
                      <w:sz w:val="18"/>
                      <w:szCs w:val="18"/>
                    </w:rPr>
                    <w:t>、CO等有毒有害气体，污染大气；</w:t>
                  </w:r>
                  <w:r>
                    <w:rPr>
                      <w:rFonts w:hint="eastAsia" w:ascii="宋体" w:hAnsi="宋体" w:eastAsia="宋体" w:cs="宋体"/>
                      <w:sz w:val="18"/>
                      <w:szCs w:val="18"/>
                      <w:lang w:eastAsia="zh-CN"/>
                    </w:rPr>
                    <w:t>医疗废物存储间</w:t>
                  </w:r>
                  <w:r>
                    <w:rPr>
                      <w:rFonts w:hint="eastAsia" w:ascii="宋体" w:hAnsi="宋体" w:eastAsia="宋体" w:cs="宋体"/>
                      <w:sz w:val="18"/>
                      <w:szCs w:val="18"/>
                    </w:rPr>
                    <w:t>地面防渗层损坏，物质进入地下水和土壤；物质</w:t>
                  </w:r>
                  <w:r>
                    <w:rPr>
                      <w:rFonts w:hint="eastAsia" w:ascii="宋体" w:hAnsi="宋体" w:eastAsia="宋体" w:cs="宋体"/>
                      <w:sz w:val="18"/>
                      <w:szCs w:val="18"/>
                      <w:lang w:eastAsia="zh-CN"/>
                    </w:rPr>
                    <w:t>泄漏</w:t>
                  </w:r>
                  <w:r>
                    <w:rPr>
                      <w:rFonts w:hint="eastAsia" w:ascii="宋体" w:hAnsi="宋体" w:eastAsia="宋体" w:cs="宋体"/>
                      <w:sz w:val="18"/>
                      <w:szCs w:val="18"/>
                    </w:rPr>
                    <w:t>或火灾后，可能随冲洗水或消防尾水进入附近地表水体</w:t>
                  </w:r>
                </w:p>
              </w:tc>
              <w:tc>
                <w:tcPr>
                  <w:tcW w:w="757" w:type="pct"/>
                  <w:vMerge w:val="restart"/>
                  <w:vAlign w:val="center"/>
                </w:tcPr>
                <w:p>
                  <w:pPr>
                    <w:widowControl/>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大气环境保护目标</w:t>
                  </w:r>
                </w:p>
                <w:p>
                  <w:pPr>
                    <w:widowControl/>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地表水环境保护目标地下水环境保护目标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32" w:hRule="atLeast"/>
                <w:jc w:val="center"/>
              </w:trPr>
              <w:tc>
                <w:tcPr>
                  <w:tcW w:w="297" w:type="pct"/>
                  <w:vAlign w:val="center"/>
                </w:tcPr>
                <w:p>
                  <w:pPr>
                    <w:widowControl/>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2</w:t>
                  </w:r>
                </w:p>
              </w:tc>
              <w:tc>
                <w:tcPr>
                  <w:tcW w:w="432" w:type="pct"/>
                  <w:vAlign w:val="center"/>
                </w:tcPr>
                <w:p>
                  <w:pPr>
                    <w:widowControl/>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诊室</w:t>
                  </w:r>
                </w:p>
              </w:tc>
              <w:tc>
                <w:tcPr>
                  <w:tcW w:w="994" w:type="pct"/>
                  <w:vMerge w:val="continue"/>
                  <w:vAlign w:val="center"/>
                </w:tcPr>
                <w:p>
                  <w:pPr>
                    <w:wordWrap w:val="0"/>
                    <w:ind w:left="5250" w:leftChars="2500"/>
                    <w:jc w:val="center"/>
                    <w:rPr>
                      <w:rFonts w:hint="eastAsia" w:ascii="宋体" w:hAnsi="宋体" w:eastAsia="宋体" w:cs="宋体"/>
                      <w:sz w:val="18"/>
                      <w:szCs w:val="18"/>
                    </w:rPr>
                  </w:pPr>
                </w:p>
              </w:tc>
              <w:tc>
                <w:tcPr>
                  <w:tcW w:w="636" w:type="pct"/>
                  <w:vMerge w:val="continue"/>
                  <w:vAlign w:val="center"/>
                </w:tcPr>
                <w:p>
                  <w:pPr>
                    <w:ind w:left="5250" w:leftChars="2500"/>
                    <w:jc w:val="center"/>
                    <w:rPr>
                      <w:rFonts w:hint="eastAsia" w:ascii="宋体" w:hAnsi="宋体" w:eastAsia="宋体" w:cs="宋体"/>
                      <w:sz w:val="18"/>
                      <w:szCs w:val="18"/>
                    </w:rPr>
                  </w:pPr>
                </w:p>
              </w:tc>
              <w:tc>
                <w:tcPr>
                  <w:tcW w:w="577" w:type="pct"/>
                  <w:vMerge w:val="continue"/>
                  <w:vAlign w:val="center"/>
                </w:tcPr>
                <w:p>
                  <w:pPr>
                    <w:ind w:left="5250" w:leftChars="2500"/>
                    <w:jc w:val="center"/>
                    <w:rPr>
                      <w:rFonts w:hint="eastAsia" w:ascii="宋体" w:hAnsi="宋体" w:eastAsia="宋体" w:cs="宋体"/>
                      <w:sz w:val="18"/>
                      <w:szCs w:val="18"/>
                    </w:rPr>
                  </w:pPr>
                </w:p>
              </w:tc>
              <w:tc>
                <w:tcPr>
                  <w:tcW w:w="1304" w:type="pct"/>
                  <w:vMerge w:val="continue"/>
                  <w:vAlign w:val="center"/>
                </w:tcPr>
                <w:p>
                  <w:pPr>
                    <w:ind w:left="5250" w:leftChars="2500"/>
                    <w:jc w:val="center"/>
                    <w:rPr>
                      <w:rFonts w:hint="eastAsia" w:ascii="宋体" w:hAnsi="宋体" w:eastAsia="宋体" w:cs="宋体"/>
                      <w:sz w:val="18"/>
                      <w:szCs w:val="18"/>
                    </w:rPr>
                  </w:pPr>
                </w:p>
              </w:tc>
              <w:tc>
                <w:tcPr>
                  <w:tcW w:w="757" w:type="pct"/>
                  <w:vMerge w:val="continue"/>
                  <w:vAlign w:val="center"/>
                </w:tcPr>
                <w:p>
                  <w:pPr>
                    <w:ind w:left="5250" w:leftChars="2500"/>
                    <w:jc w:val="center"/>
                    <w:rPr>
                      <w:rFonts w:hint="eastAsia" w:ascii="宋体" w:hAnsi="宋体" w:eastAsia="宋体" w:cs="宋体"/>
                      <w:sz w:val="18"/>
                      <w:szCs w:val="18"/>
                    </w:rPr>
                  </w:pPr>
                </w:p>
              </w:tc>
            </w:tr>
          </w:tbl>
          <w:p>
            <w:pPr>
              <w:widowControl/>
              <w:shd w:val="clear" w:color="auto" w:fill="FFFFFF"/>
              <w:spacing w:line="360" w:lineRule="auto"/>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（4）环境风险分析</w:t>
            </w:r>
          </w:p>
          <w:p>
            <w:pPr>
              <w:tabs>
                <w:tab w:val="left" w:pos="851"/>
                <w:tab w:val="left" w:pos="1134"/>
                <w:tab w:val="left" w:pos="1276"/>
              </w:tabs>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危险物质发生火灾，</w:t>
            </w:r>
            <w:r>
              <w:rPr>
                <w:rFonts w:hint="default" w:ascii="Times New Roman" w:hAnsi="Times New Roman" w:eastAsia="宋体" w:cs="Times New Roman"/>
                <w:sz w:val="21"/>
                <w:szCs w:val="21"/>
                <w:lang w:eastAsia="zh-CN"/>
              </w:rPr>
              <w:t>产生</w:t>
            </w:r>
            <w:r>
              <w:rPr>
                <w:rFonts w:hint="default" w:ascii="Times New Roman" w:hAnsi="Times New Roman" w:eastAsia="宋体" w:cs="Times New Roman"/>
                <w:sz w:val="21"/>
                <w:szCs w:val="21"/>
                <w:lang w:val="en-US" w:eastAsia="zh-CN"/>
              </w:rPr>
              <w:t>Hcl、</w:t>
            </w:r>
            <w:r>
              <w:rPr>
                <w:rFonts w:hint="default" w:ascii="Times New Roman" w:hAnsi="Times New Roman" w:eastAsia="宋体" w:cs="Times New Roman"/>
                <w:sz w:val="21"/>
                <w:szCs w:val="21"/>
              </w:rPr>
              <w:t>SO</w:t>
            </w:r>
            <w:r>
              <w:rPr>
                <w:rFonts w:hint="default" w:ascii="Times New Roman" w:hAnsi="Times New Roman" w:eastAsia="宋体" w:cs="Times New Roman"/>
                <w:sz w:val="21"/>
                <w:szCs w:val="21"/>
                <w:vertAlign w:val="subscript"/>
              </w:rPr>
              <w:t>2</w:t>
            </w:r>
            <w:r>
              <w:rPr>
                <w:rFonts w:hint="default" w:ascii="Times New Roman" w:hAnsi="Times New Roman" w:eastAsia="宋体" w:cs="Times New Roman"/>
                <w:sz w:val="21"/>
                <w:szCs w:val="21"/>
              </w:rPr>
              <w:t>、CO等有毒有害气体，造成大气环境事故，从而造成对厂外环境敏感点和人群的影响；</w:t>
            </w:r>
          </w:p>
          <w:p>
            <w:pPr>
              <w:tabs>
                <w:tab w:val="left" w:pos="851"/>
                <w:tab w:val="left" w:pos="1134"/>
                <w:tab w:val="left" w:pos="1276"/>
              </w:tabs>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医疗废物存储间</w:t>
            </w:r>
            <w:r>
              <w:rPr>
                <w:rFonts w:hint="default" w:ascii="Times New Roman" w:hAnsi="Times New Roman" w:eastAsia="宋体" w:cs="Times New Roman"/>
                <w:sz w:val="21"/>
                <w:szCs w:val="21"/>
              </w:rPr>
              <w:t>防渗层损坏，危险物质渗透进入土壤，穿透包气带层，影响土壤及地下水水质；</w:t>
            </w:r>
          </w:p>
          <w:p>
            <w:pPr>
              <w:tabs>
                <w:tab w:val="left" w:pos="851"/>
                <w:tab w:val="left" w:pos="1134"/>
                <w:tab w:val="left" w:pos="1276"/>
              </w:tabs>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危险物质泄漏或火灾后，</w:t>
            </w:r>
            <w:r>
              <w:rPr>
                <w:rFonts w:hint="default" w:ascii="Times New Roman" w:hAnsi="Times New Roman" w:eastAsia="宋体" w:cs="Times New Roman"/>
                <w:sz w:val="21"/>
                <w:szCs w:val="21"/>
                <w:lang w:eastAsia="zh-CN"/>
              </w:rPr>
              <w:t>泄漏</w:t>
            </w:r>
            <w:r>
              <w:rPr>
                <w:rFonts w:hint="default" w:ascii="Times New Roman" w:hAnsi="Times New Roman" w:eastAsia="宋体" w:cs="Times New Roman"/>
                <w:sz w:val="21"/>
                <w:szCs w:val="21"/>
              </w:rPr>
              <w:t>出的有机物可能会随着冲洗水或消防尾水进入附近地表水体，对地表水体产生影响。</w:t>
            </w:r>
          </w:p>
          <w:p>
            <w:pPr>
              <w:widowControl/>
              <w:numPr>
                <w:ilvl w:val="0"/>
                <w:numId w:val="8"/>
              </w:numPr>
              <w:shd w:val="clear" w:color="auto" w:fill="FFFFFF"/>
              <w:spacing w:line="360" w:lineRule="auto"/>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环境风险防范应急措施</w:t>
            </w:r>
          </w:p>
          <w:p>
            <w:pPr>
              <w:widowControl/>
              <w:numPr>
                <w:ilvl w:val="0"/>
                <w:numId w:val="0"/>
              </w:numPr>
              <w:shd w:val="clear" w:color="auto" w:fill="FFFFFF"/>
              <w:spacing w:line="360" w:lineRule="auto"/>
              <w:ind w:firstLine="420" w:firstLineChars="2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rPr>
              <w:t>泄漏风险防范措施</w:t>
            </w:r>
          </w:p>
          <w:p>
            <w:pPr>
              <w:widowControl/>
              <w:shd w:val="clear" w:color="auto" w:fill="FFFFFF"/>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泄漏是本项目环境风险的主要事故源，预防物料泄漏并发生次生灾害的主要措施为：</w:t>
            </w:r>
          </w:p>
          <w:p>
            <w:pPr>
              <w:widowControl/>
              <w:shd w:val="clear" w:color="auto" w:fill="FFFFFF"/>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①本项目生产过程危险废物的产生量都比较少，泄露时尽可能采用不产生冲击、静电火花的工具进行泄漏物的回收，将泄漏物收集在密闭容器内，用砂土、活性炭或其它惰性材料吸收残液，也可以用不燃性分散剂制成的乳液刷洗。</w:t>
            </w:r>
          </w:p>
          <w:p>
            <w:pPr>
              <w:widowControl/>
              <w:shd w:val="clear" w:color="auto" w:fill="FFFFFF"/>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②本项目次氯酸钠消毒液用量较少，最大存储量为3.5L，密封储存，取用后及时关盖，另外，通过加强监管，专人管理药房药物，可以有效降低或避免风险事故的发生，环境风险处于可接受范围。</w:t>
            </w:r>
          </w:p>
          <w:p>
            <w:pPr>
              <w:widowControl/>
              <w:shd w:val="clear" w:color="auto" w:fill="FFFFFF"/>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③污水处理器应安排专人负责维护管理，定期对其管线和设备进行检查，发现破损或老化现象及时更换；加强消毒系统自动操作系统巡检和管理，需及时排除故障，避免宠物服务废水直接排放；若发生故障时应切断出水口出水，待医疗污水处理设备运行正常后重新启动处理，并达到出水标准后方可出水，接管至市政污水管网，可有效杜绝污水直接排放，不会对水体产生影响。</w:t>
            </w:r>
          </w:p>
          <w:p>
            <w:pPr>
              <w:widowControl/>
              <w:shd w:val="clear" w:color="auto" w:fill="FFFFFF"/>
              <w:spacing w:line="360" w:lineRule="auto"/>
              <w:ind w:firstLine="420" w:firstLineChars="200"/>
              <w:jc w:val="left"/>
              <w:rPr>
                <w:rFonts w:hint="default" w:ascii="Times New Roman" w:hAnsi="Times New Roman" w:eastAsia="宋体" w:cs="Times New Roman"/>
                <w:sz w:val="21"/>
                <w:szCs w:val="21"/>
              </w:rPr>
            </w:pPr>
          </w:p>
          <w:p>
            <w:pPr>
              <w:widowControl/>
              <w:numPr>
                <w:ilvl w:val="0"/>
                <w:numId w:val="0"/>
              </w:numPr>
              <w:shd w:val="clear" w:color="auto" w:fill="FFFFFF"/>
              <w:spacing w:line="360" w:lineRule="auto"/>
              <w:ind w:firstLine="420" w:firstLineChars="2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火灾风险防范措施</w:t>
            </w:r>
          </w:p>
          <w:p>
            <w:pPr>
              <w:widowControl/>
              <w:shd w:val="clear" w:color="auto" w:fill="FFFFFF"/>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①项目区域内均严禁吸烟和带入火种，</w:t>
            </w:r>
            <w:r>
              <w:rPr>
                <w:rFonts w:hint="default" w:ascii="Times New Roman" w:hAnsi="Times New Roman" w:eastAsia="宋体" w:cs="Times New Roman"/>
                <w:sz w:val="21"/>
                <w:szCs w:val="21"/>
                <w:lang w:eastAsia="zh-CN"/>
              </w:rPr>
              <w:t>医疗废物存储间</w:t>
            </w:r>
            <w:r>
              <w:rPr>
                <w:rFonts w:hint="default" w:ascii="Times New Roman" w:hAnsi="Times New Roman" w:eastAsia="宋体" w:cs="Times New Roman"/>
                <w:sz w:val="21"/>
                <w:szCs w:val="21"/>
              </w:rPr>
              <w:t>设置“严禁烟火”和“禁止吸烟”警示牌。</w:t>
            </w:r>
          </w:p>
          <w:p>
            <w:pPr>
              <w:widowControl/>
              <w:shd w:val="clear" w:color="auto" w:fill="FFFFFF"/>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②房屋内设置消防器材，并定期检查，确保其在有效期限内。</w:t>
            </w:r>
          </w:p>
          <w:p>
            <w:pPr>
              <w:widowControl/>
              <w:numPr>
                <w:ilvl w:val="0"/>
                <w:numId w:val="9"/>
              </w:numPr>
              <w:shd w:val="clear" w:color="auto" w:fill="FFFFFF"/>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动物疾病带来的风险防范措施</w:t>
            </w:r>
          </w:p>
          <w:p>
            <w:pPr>
              <w:widowControl/>
              <w:numPr>
                <w:ilvl w:val="0"/>
                <w:numId w:val="0"/>
              </w:numPr>
              <w:shd w:val="clear" w:color="auto" w:fill="FFFFFF"/>
              <w:spacing w:line="360" w:lineRule="auto"/>
              <w:ind w:firstLine="420" w:firstLineChars="200"/>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本项目在诊疗过程发现有（传染）疫情的宠物，立即报告当地兽医主管部门、动物卫生监督机构或动物疾病预防控制机构，并将宠物放置在隔离室内，不得擅自进行治疗，防止动物疫情扩散。通过加强日常监督检查、管理，严格规范医护人员的操作流程等，可以有效降低或避免风险事故的发生。</w:t>
            </w:r>
          </w:p>
          <w:p>
            <w:pPr>
              <w:widowControl/>
              <w:shd w:val="clear" w:color="auto" w:fill="FFFFFF"/>
              <w:spacing w:line="360" w:lineRule="auto"/>
              <w:jc w:val="left"/>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（6）风险结论</w:t>
            </w:r>
          </w:p>
          <w:p>
            <w:pPr>
              <w:tabs>
                <w:tab w:val="left" w:pos="851"/>
                <w:tab w:val="left" w:pos="1134"/>
                <w:tab w:val="left" w:pos="1276"/>
              </w:tabs>
              <w:spacing w:line="360" w:lineRule="auto"/>
              <w:ind w:firstLine="420" w:firstLineChars="200"/>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本项目存在风险主要为泄漏和火灾。本项目的危险、有害因素是客观存在的，但其风险处于可接受水平。</w:t>
            </w:r>
          </w:p>
          <w:p>
            <w:pPr>
              <w:spacing w:line="324" w:lineRule="auto"/>
              <w:ind w:right="195" w:rightChars="93" w:firstLine="422" w:firstLineChars="200"/>
              <w:jc w:val="center"/>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表4-</w:t>
            </w:r>
            <w:r>
              <w:rPr>
                <w:rFonts w:hint="default" w:ascii="Times New Roman" w:hAnsi="Times New Roman" w:eastAsia="宋体" w:cs="Times New Roman"/>
                <w:b/>
                <w:sz w:val="21"/>
                <w:szCs w:val="21"/>
                <w:lang w:val="en-US" w:eastAsia="zh-CN"/>
              </w:rPr>
              <w:t>20</w:t>
            </w:r>
            <w:r>
              <w:rPr>
                <w:rFonts w:hint="default" w:ascii="Times New Roman" w:hAnsi="Times New Roman" w:eastAsia="宋体" w:cs="Times New Roman"/>
                <w:b/>
                <w:sz w:val="21"/>
                <w:szCs w:val="21"/>
              </w:rPr>
              <w:t>建设项目环境风险简单分析内容表</w:t>
            </w:r>
          </w:p>
          <w:tbl>
            <w:tblPr>
              <w:tblStyle w:val="36"/>
              <w:tblW w:w="4999" w:type="pct"/>
              <w:tblInd w:w="0" w:type="dxa"/>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Layout w:type="autofit"/>
              <w:tblCellMar>
                <w:top w:w="0" w:type="dxa"/>
                <w:left w:w="108" w:type="dxa"/>
                <w:bottom w:w="0" w:type="dxa"/>
                <w:right w:w="108" w:type="dxa"/>
              </w:tblCellMar>
            </w:tblPr>
            <w:tblGrid>
              <w:gridCol w:w="2082"/>
              <w:gridCol w:w="1463"/>
              <w:gridCol w:w="2051"/>
              <w:gridCol w:w="1017"/>
              <w:gridCol w:w="2257"/>
            </w:tblGrid>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38" w:hRule="atLeast"/>
              </w:trPr>
              <w:tc>
                <w:tcPr>
                  <w:tcW w:w="1174" w:type="pct"/>
                  <w:vAlign w:val="center"/>
                </w:tcPr>
                <w:p>
                  <w:pPr>
                    <w:adjustRightInd w:val="0"/>
                    <w:snapToGrid w:val="0"/>
                    <w:ind w:left="63" w:leftChars="30" w:right="63" w:rightChars="30"/>
                    <w:jc w:val="center"/>
                    <w:rPr>
                      <w:rFonts w:hint="eastAsia" w:ascii="宋体" w:hAnsi="宋体" w:eastAsia="宋体" w:cs="宋体"/>
                      <w:sz w:val="18"/>
                      <w:szCs w:val="18"/>
                    </w:rPr>
                  </w:pPr>
                  <w:r>
                    <w:rPr>
                      <w:rFonts w:hint="eastAsia" w:ascii="宋体" w:hAnsi="宋体" w:eastAsia="宋体" w:cs="宋体"/>
                      <w:sz w:val="18"/>
                      <w:szCs w:val="18"/>
                    </w:rPr>
                    <w:t>建设项目名称</w:t>
                  </w:r>
                </w:p>
              </w:tc>
              <w:tc>
                <w:tcPr>
                  <w:tcW w:w="3825" w:type="pct"/>
                  <w:gridSpan w:val="4"/>
                  <w:vAlign w:val="center"/>
                </w:tcPr>
                <w:p>
                  <w:pPr>
                    <w:widowControl/>
                    <w:adjustRightInd w:val="0"/>
                    <w:snapToGrid w:val="0"/>
                    <w:ind w:firstLine="360" w:firstLineChars="200"/>
                    <w:jc w:val="center"/>
                    <w:rPr>
                      <w:rFonts w:hint="eastAsia" w:ascii="宋体" w:hAnsi="宋体" w:eastAsia="宋体" w:cs="宋体"/>
                      <w:kern w:val="0"/>
                      <w:sz w:val="18"/>
                      <w:szCs w:val="18"/>
                    </w:rPr>
                  </w:pPr>
                  <w:r>
                    <w:rPr>
                      <w:rFonts w:hint="eastAsia" w:ascii="宋体" w:hAnsi="宋体" w:eastAsia="宋体" w:cs="宋体"/>
                      <w:kern w:val="0"/>
                      <w:sz w:val="18"/>
                      <w:szCs w:val="18"/>
                      <w:lang w:eastAsia="zh-CN"/>
                    </w:rPr>
                    <w:t>苏州暖馨动物医院有限公司</w:t>
                  </w:r>
                  <w:r>
                    <w:rPr>
                      <w:rFonts w:hint="eastAsia" w:ascii="宋体" w:hAnsi="宋体" w:eastAsia="宋体" w:cs="宋体"/>
                      <w:kern w:val="0"/>
                      <w:sz w:val="18"/>
                      <w:szCs w:val="18"/>
                    </w:rPr>
                    <w:t>新建</w:t>
                  </w:r>
                  <w:r>
                    <w:rPr>
                      <w:rFonts w:hint="eastAsia" w:ascii="宋体" w:hAnsi="宋体" w:eastAsia="宋体" w:cs="宋体"/>
                      <w:kern w:val="0"/>
                      <w:sz w:val="18"/>
                      <w:szCs w:val="18"/>
                      <w:lang w:val="en-US" w:eastAsia="zh-CN"/>
                    </w:rPr>
                    <w:t>动物医院项目</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38" w:hRule="atLeast"/>
              </w:trPr>
              <w:tc>
                <w:tcPr>
                  <w:tcW w:w="1174" w:type="pct"/>
                  <w:vAlign w:val="center"/>
                </w:tcPr>
                <w:p>
                  <w:pPr>
                    <w:adjustRightInd w:val="0"/>
                    <w:snapToGrid w:val="0"/>
                    <w:ind w:left="63" w:leftChars="30" w:right="63" w:rightChars="30"/>
                    <w:jc w:val="center"/>
                    <w:rPr>
                      <w:rFonts w:hint="eastAsia" w:ascii="宋体" w:hAnsi="宋体" w:eastAsia="宋体" w:cs="宋体"/>
                      <w:sz w:val="18"/>
                      <w:szCs w:val="18"/>
                    </w:rPr>
                  </w:pPr>
                  <w:r>
                    <w:rPr>
                      <w:rFonts w:hint="eastAsia" w:ascii="宋体" w:hAnsi="宋体" w:eastAsia="宋体" w:cs="宋体"/>
                      <w:sz w:val="18"/>
                      <w:szCs w:val="18"/>
                    </w:rPr>
                    <w:t>建设地点</w:t>
                  </w:r>
                </w:p>
              </w:tc>
              <w:tc>
                <w:tcPr>
                  <w:tcW w:w="3825" w:type="pct"/>
                  <w:gridSpan w:val="4"/>
                  <w:vAlign w:val="center"/>
                </w:tcPr>
                <w:p>
                  <w:pPr>
                    <w:widowControl/>
                    <w:adjustRightInd w:val="0"/>
                    <w:snapToGrid w:val="0"/>
                    <w:ind w:firstLine="360" w:firstLineChars="200"/>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江苏省苏州市太仓市</w:t>
                  </w:r>
                  <w:r>
                    <w:rPr>
                      <w:rFonts w:hint="eastAsia" w:ascii="宋体" w:hAnsi="宋体" w:eastAsia="宋体" w:cs="宋体"/>
                      <w:kern w:val="0"/>
                      <w:sz w:val="18"/>
                      <w:szCs w:val="18"/>
                      <w:lang w:val="en-US" w:eastAsia="zh-CN"/>
                    </w:rPr>
                    <w:t>高新区</w:t>
                  </w:r>
                  <w:r>
                    <w:rPr>
                      <w:rFonts w:hint="eastAsia" w:ascii="宋体" w:hAnsi="宋体" w:eastAsia="宋体" w:cs="宋体"/>
                      <w:kern w:val="0"/>
                      <w:sz w:val="18"/>
                      <w:szCs w:val="18"/>
                    </w:rPr>
                    <w:t>郑和中路376号20幢商铺06室</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38" w:hRule="atLeast"/>
              </w:trPr>
              <w:tc>
                <w:tcPr>
                  <w:tcW w:w="1174" w:type="pct"/>
                  <w:vAlign w:val="center"/>
                </w:tcPr>
                <w:p>
                  <w:pPr>
                    <w:adjustRightInd w:val="0"/>
                    <w:snapToGrid w:val="0"/>
                    <w:ind w:left="63" w:leftChars="30" w:right="63" w:rightChars="30"/>
                    <w:jc w:val="center"/>
                    <w:rPr>
                      <w:rFonts w:hint="eastAsia" w:ascii="宋体" w:hAnsi="宋体" w:eastAsia="宋体" w:cs="宋体"/>
                      <w:sz w:val="18"/>
                      <w:szCs w:val="18"/>
                    </w:rPr>
                  </w:pPr>
                  <w:r>
                    <w:rPr>
                      <w:rFonts w:hint="eastAsia" w:ascii="宋体" w:hAnsi="宋体" w:eastAsia="宋体" w:cs="宋体"/>
                      <w:sz w:val="18"/>
                      <w:szCs w:val="18"/>
                    </w:rPr>
                    <w:t>地理坐标</w:t>
                  </w:r>
                </w:p>
              </w:tc>
              <w:tc>
                <w:tcPr>
                  <w:tcW w:w="825" w:type="pct"/>
                  <w:vAlign w:val="center"/>
                </w:tcPr>
                <w:p>
                  <w:pPr>
                    <w:adjustRightInd w:val="0"/>
                    <w:snapToGrid w:val="0"/>
                    <w:ind w:left="63" w:leftChars="30" w:right="63" w:rightChars="30"/>
                    <w:jc w:val="center"/>
                    <w:rPr>
                      <w:rFonts w:hint="eastAsia" w:ascii="宋体" w:hAnsi="宋体" w:eastAsia="宋体" w:cs="宋体"/>
                      <w:sz w:val="18"/>
                      <w:szCs w:val="18"/>
                    </w:rPr>
                  </w:pPr>
                  <w:r>
                    <w:rPr>
                      <w:rFonts w:hint="eastAsia" w:ascii="宋体" w:hAnsi="宋体" w:eastAsia="宋体" w:cs="宋体"/>
                      <w:sz w:val="18"/>
                      <w:szCs w:val="18"/>
                    </w:rPr>
                    <w:t>经度</w:t>
                  </w:r>
                </w:p>
              </w:tc>
              <w:tc>
                <w:tcPr>
                  <w:tcW w:w="1156" w:type="pct"/>
                  <w:vAlign w:val="center"/>
                </w:tcPr>
                <w:p>
                  <w:pPr>
                    <w:adjustRightInd w:val="0"/>
                    <w:snapToGrid w:val="0"/>
                    <w:ind w:left="63" w:leftChars="30" w:right="63" w:rightChars="30"/>
                    <w:jc w:val="center"/>
                    <w:rPr>
                      <w:rFonts w:hint="eastAsia" w:ascii="宋体" w:hAnsi="宋体" w:eastAsia="宋体" w:cs="宋体"/>
                      <w:sz w:val="18"/>
                      <w:szCs w:val="18"/>
                    </w:rPr>
                  </w:pPr>
                  <w:r>
                    <w:rPr>
                      <w:rFonts w:hint="eastAsia" w:ascii="宋体" w:hAnsi="宋体" w:eastAsia="宋体" w:cs="宋体"/>
                      <w:color w:val="auto"/>
                      <w:sz w:val="18"/>
                      <w:szCs w:val="18"/>
                      <w:lang w:val="en-US" w:eastAsia="zh-CN"/>
                    </w:rPr>
                    <w:t>121度7分10.8048秒</w:t>
                  </w:r>
                </w:p>
              </w:tc>
              <w:tc>
                <w:tcPr>
                  <w:tcW w:w="573" w:type="pct"/>
                  <w:vAlign w:val="center"/>
                </w:tcPr>
                <w:p>
                  <w:pPr>
                    <w:adjustRightInd w:val="0"/>
                    <w:snapToGrid w:val="0"/>
                    <w:ind w:left="63" w:leftChars="30" w:right="63" w:rightChars="30"/>
                    <w:jc w:val="center"/>
                    <w:rPr>
                      <w:rFonts w:hint="eastAsia" w:ascii="宋体" w:hAnsi="宋体" w:eastAsia="宋体" w:cs="宋体"/>
                      <w:sz w:val="18"/>
                      <w:szCs w:val="18"/>
                    </w:rPr>
                  </w:pPr>
                  <w:r>
                    <w:rPr>
                      <w:rFonts w:hint="eastAsia" w:ascii="宋体" w:hAnsi="宋体" w:eastAsia="宋体" w:cs="宋体"/>
                      <w:sz w:val="18"/>
                      <w:szCs w:val="18"/>
                    </w:rPr>
                    <w:t>纬度</w:t>
                  </w:r>
                </w:p>
              </w:tc>
              <w:tc>
                <w:tcPr>
                  <w:tcW w:w="1269" w:type="pct"/>
                  <w:vAlign w:val="center"/>
                </w:tcPr>
                <w:p>
                  <w:pPr>
                    <w:adjustRightInd w:val="0"/>
                    <w:snapToGrid w:val="0"/>
                    <w:ind w:left="63" w:leftChars="30" w:right="63" w:rightChars="30"/>
                    <w:jc w:val="center"/>
                    <w:rPr>
                      <w:rFonts w:hint="eastAsia" w:ascii="宋体" w:hAnsi="宋体" w:eastAsia="宋体" w:cs="宋体"/>
                      <w:sz w:val="18"/>
                      <w:szCs w:val="18"/>
                    </w:rPr>
                  </w:pPr>
                  <w:r>
                    <w:rPr>
                      <w:rFonts w:hint="eastAsia" w:ascii="宋体" w:hAnsi="宋体" w:eastAsia="宋体" w:cs="宋体"/>
                      <w:color w:val="auto"/>
                      <w:sz w:val="18"/>
                      <w:szCs w:val="18"/>
                      <w:lang w:val="en-US" w:eastAsia="zh-CN"/>
                    </w:rPr>
                    <w:t>31度27分41.8428秒</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38" w:hRule="atLeast"/>
              </w:trPr>
              <w:tc>
                <w:tcPr>
                  <w:tcW w:w="1174" w:type="pct"/>
                  <w:vAlign w:val="center"/>
                </w:tcPr>
                <w:p>
                  <w:pPr>
                    <w:adjustRightInd w:val="0"/>
                    <w:snapToGrid w:val="0"/>
                    <w:ind w:left="63" w:leftChars="30" w:right="63" w:rightChars="30"/>
                    <w:jc w:val="center"/>
                    <w:rPr>
                      <w:rFonts w:hint="eastAsia" w:ascii="宋体" w:hAnsi="宋体" w:eastAsia="宋体" w:cs="宋体"/>
                      <w:sz w:val="18"/>
                      <w:szCs w:val="18"/>
                    </w:rPr>
                  </w:pPr>
                  <w:r>
                    <w:rPr>
                      <w:rFonts w:hint="eastAsia" w:ascii="宋体" w:hAnsi="宋体" w:eastAsia="宋体" w:cs="宋体"/>
                      <w:sz w:val="18"/>
                      <w:szCs w:val="18"/>
                    </w:rPr>
                    <w:t>主要危险物质及分布</w:t>
                  </w:r>
                </w:p>
              </w:tc>
              <w:tc>
                <w:tcPr>
                  <w:tcW w:w="3825" w:type="pct"/>
                  <w:gridSpan w:val="4"/>
                  <w:vAlign w:val="center"/>
                </w:tcPr>
                <w:p>
                  <w:pPr>
                    <w:widowControl/>
                    <w:adjustRightInd w:val="0"/>
                    <w:snapToGrid w:val="0"/>
                    <w:jc w:val="center"/>
                    <w:rPr>
                      <w:rFonts w:hint="eastAsia" w:ascii="宋体" w:hAnsi="宋体" w:eastAsia="宋体" w:cs="宋体"/>
                      <w:kern w:val="0"/>
                      <w:sz w:val="18"/>
                      <w:szCs w:val="18"/>
                    </w:rPr>
                  </w:pPr>
                  <w:r>
                    <w:rPr>
                      <w:rFonts w:hint="eastAsia" w:ascii="宋体" w:hAnsi="宋体" w:eastAsia="宋体" w:cs="宋体"/>
                      <w:kern w:val="0"/>
                      <w:sz w:val="18"/>
                      <w:szCs w:val="18"/>
                    </w:rPr>
                    <w:t>主要危险物质：</w:t>
                  </w:r>
                  <w:r>
                    <w:rPr>
                      <w:rFonts w:hint="eastAsia" w:ascii="宋体" w:hAnsi="宋体" w:eastAsia="宋体" w:cs="宋体"/>
                      <w:kern w:val="0"/>
                      <w:sz w:val="18"/>
                      <w:szCs w:val="18"/>
                      <w:lang w:val="en-US" w:eastAsia="zh-CN"/>
                    </w:rPr>
                    <w:t>医用酒精、消毒液（次氯酸钠）</w:t>
                  </w:r>
                  <w:r>
                    <w:rPr>
                      <w:rFonts w:hint="eastAsia" w:ascii="宋体" w:hAnsi="宋体" w:eastAsia="宋体" w:cs="宋体"/>
                      <w:kern w:val="0"/>
                      <w:sz w:val="18"/>
                      <w:szCs w:val="18"/>
                      <w:highlight w:val="none"/>
                    </w:rPr>
                    <w:t>；</w:t>
                  </w:r>
                </w:p>
                <w:p>
                  <w:pPr>
                    <w:widowControl/>
                    <w:adjustRightInd w:val="0"/>
                    <w:snapToGrid w:val="0"/>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危险单元：</w:t>
                  </w:r>
                  <w:r>
                    <w:rPr>
                      <w:rFonts w:hint="eastAsia" w:ascii="宋体" w:hAnsi="宋体" w:eastAsia="宋体" w:cs="宋体"/>
                      <w:kern w:val="0"/>
                      <w:sz w:val="18"/>
                      <w:szCs w:val="18"/>
                      <w:lang w:val="en-US" w:eastAsia="zh-CN"/>
                    </w:rPr>
                    <w:t>诊疗区</w:t>
                  </w:r>
                  <w:r>
                    <w:rPr>
                      <w:rFonts w:hint="eastAsia" w:ascii="宋体" w:hAnsi="宋体" w:eastAsia="宋体" w:cs="宋体"/>
                      <w:kern w:val="0"/>
                      <w:sz w:val="18"/>
                      <w:szCs w:val="18"/>
                    </w:rPr>
                    <w:t>、</w:t>
                  </w:r>
                  <w:r>
                    <w:rPr>
                      <w:rFonts w:hint="eastAsia" w:ascii="宋体" w:hAnsi="宋体" w:eastAsia="宋体" w:cs="宋体"/>
                      <w:kern w:val="0"/>
                      <w:sz w:val="18"/>
                      <w:szCs w:val="18"/>
                      <w:lang w:eastAsia="zh-CN"/>
                    </w:rPr>
                    <w:t>医疗废物存储间</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218" w:hRule="atLeast"/>
              </w:trPr>
              <w:tc>
                <w:tcPr>
                  <w:tcW w:w="1174" w:type="pct"/>
                  <w:vAlign w:val="center"/>
                </w:tcPr>
                <w:p>
                  <w:pPr>
                    <w:adjustRightInd w:val="0"/>
                    <w:snapToGrid w:val="0"/>
                    <w:ind w:left="63" w:leftChars="30" w:right="63" w:rightChars="30"/>
                    <w:jc w:val="center"/>
                    <w:rPr>
                      <w:rFonts w:hint="eastAsia" w:ascii="宋体" w:hAnsi="宋体" w:eastAsia="宋体" w:cs="宋体"/>
                      <w:sz w:val="18"/>
                      <w:szCs w:val="18"/>
                    </w:rPr>
                  </w:pPr>
                  <w:r>
                    <w:rPr>
                      <w:rFonts w:hint="eastAsia" w:ascii="宋体" w:hAnsi="宋体" w:eastAsia="宋体" w:cs="宋体"/>
                      <w:sz w:val="18"/>
                      <w:szCs w:val="18"/>
                    </w:rPr>
                    <w:t>环境影响途径及危害后果（大气、地表水、地下水等）</w:t>
                  </w:r>
                </w:p>
              </w:tc>
              <w:tc>
                <w:tcPr>
                  <w:tcW w:w="3825" w:type="pct"/>
                  <w:gridSpan w:val="4"/>
                  <w:vAlign w:val="center"/>
                </w:tcPr>
                <w:p>
                  <w:pPr>
                    <w:widowControl/>
                    <w:adjustRightInd w:val="0"/>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1、危险物质发生火灾产生</w:t>
                  </w:r>
                  <w:r>
                    <w:rPr>
                      <w:rFonts w:hint="eastAsia" w:ascii="宋体" w:hAnsi="宋体" w:eastAsia="宋体" w:cs="宋体"/>
                      <w:kern w:val="0"/>
                      <w:sz w:val="18"/>
                      <w:szCs w:val="18"/>
                      <w:lang w:val="en-US" w:eastAsia="zh-CN"/>
                    </w:rPr>
                    <w:t>HCl、</w:t>
                  </w:r>
                  <w:r>
                    <w:rPr>
                      <w:rFonts w:hint="eastAsia" w:ascii="宋体" w:hAnsi="宋体" w:eastAsia="宋体" w:cs="宋体"/>
                      <w:kern w:val="0"/>
                      <w:sz w:val="18"/>
                      <w:szCs w:val="18"/>
                    </w:rPr>
                    <w:t>SO</w:t>
                  </w:r>
                  <w:r>
                    <w:rPr>
                      <w:rFonts w:hint="eastAsia" w:ascii="宋体" w:hAnsi="宋体" w:eastAsia="宋体" w:cs="宋体"/>
                      <w:kern w:val="0"/>
                      <w:sz w:val="18"/>
                      <w:szCs w:val="18"/>
                      <w:vertAlign w:val="subscript"/>
                    </w:rPr>
                    <w:t>2</w:t>
                  </w:r>
                  <w:r>
                    <w:rPr>
                      <w:rFonts w:hint="eastAsia" w:ascii="宋体" w:hAnsi="宋体" w:eastAsia="宋体" w:cs="宋体"/>
                      <w:kern w:val="0"/>
                      <w:sz w:val="18"/>
                      <w:szCs w:val="18"/>
                    </w:rPr>
                    <w:t>、CO等有毒有害气体，造成大气污染；</w:t>
                  </w:r>
                </w:p>
                <w:p>
                  <w:pPr>
                    <w:widowControl/>
                    <w:adjustRightInd w:val="0"/>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2、</w:t>
                  </w:r>
                  <w:r>
                    <w:rPr>
                      <w:rFonts w:hint="eastAsia" w:ascii="宋体" w:hAnsi="宋体" w:eastAsia="宋体" w:cs="宋体"/>
                      <w:kern w:val="0"/>
                      <w:sz w:val="18"/>
                      <w:szCs w:val="18"/>
                      <w:lang w:eastAsia="zh-CN"/>
                    </w:rPr>
                    <w:t>医疗废物存储间</w:t>
                  </w:r>
                  <w:r>
                    <w:rPr>
                      <w:rFonts w:hint="eastAsia" w:ascii="宋体" w:hAnsi="宋体" w:eastAsia="宋体" w:cs="宋体"/>
                      <w:kern w:val="0"/>
                      <w:sz w:val="18"/>
                      <w:szCs w:val="18"/>
                    </w:rPr>
                    <w:t>地面防渗层损坏，有害物渗透进入土壤及地下水；</w:t>
                  </w:r>
                </w:p>
                <w:p>
                  <w:pPr>
                    <w:widowControl/>
                    <w:adjustRightInd w:val="0"/>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3、危险物质泄漏或火灾后，可能会随着冲洗水或消防尾水进入附近地表水体</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38" w:hRule="atLeast"/>
              </w:trPr>
              <w:tc>
                <w:tcPr>
                  <w:tcW w:w="1174" w:type="pct"/>
                  <w:vAlign w:val="center"/>
                </w:tcPr>
                <w:p>
                  <w:pPr>
                    <w:adjustRightInd w:val="0"/>
                    <w:snapToGrid w:val="0"/>
                    <w:ind w:left="63" w:leftChars="30" w:right="63" w:rightChars="30"/>
                    <w:jc w:val="center"/>
                    <w:rPr>
                      <w:rFonts w:hint="eastAsia" w:ascii="宋体" w:hAnsi="宋体" w:eastAsia="宋体" w:cs="宋体"/>
                      <w:sz w:val="18"/>
                      <w:szCs w:val="18"/>
                    </w:rPr>
                  </w:pPr>
                  <w:r>
                    <w:rPr>
                      <w:rFonts w:hint="eastAsia" w:ascii="宋体" w:hAnsi="宋体" w:eastAsia="宋体" w:cs="宋体"/>
                      <w:sz w:val="18"/>
                      <w:szCs w:val="18"/>
                    </w:rPr>
                    <w:t>风险防范措施</w:t>
                  </w:r>
                </w:p>
              </w:tc>
              <w:tc>
                <w:tcPr>
                  <w:tcW w:w="3825" w:type="pct"/>
                  <w:gridSpan w:val="4"/>
                  <w:vAlign w:val="center"/>
                </w:tcPr>
                <w:p>
                  <w:pPr>
                    <w:widowControl/>
                    <w:adjustRightInd w:val="0"/>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原料仓库危险物质存放区域、</w:t>
                  </w:r>
                  <w:r>
                    <w:rPr>
                      <w:rFonts w:hint="eastAsia" w:ascii="宋体" w:hAnsi="宋体" w:eastAsia="宋体" w:cs="宋体"/>
                      <w:kern w:val="0"/>
                      <w:sz w:val="18"/>
                      <w:szCs w:val="18"/>
                      <w:lang w:eastAsia="zh-CN"/>
                    </w:rPr>
                    <w:t>医疗废物存储间</w:t>
                  </w:r>
                  <w:r>
                    <w:rPr>
                      <w:rFonts w:hint="eastAsia" w:ascii="宋体" w:hAnsi="宋体" w:eastAsia="宋体" w:cs="宋体"/>
                      <w:kern w:val="0"/>
                      <w:sz w:val="18"/>
                      <w:szCs w:val="18"/>
                    </w:rPr>
                    <w:t>和生产车间中危险物质使用区域采用以下风险防范措施：</w:t>
                  </w:r>
                </w:p>
                <w:p>
                  <w:pPr>
                    <w:widowControl/>
                    <w:adjustRightInd w:val="0"/>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1、做好地面防渗</w:t>
                  </w:r>
                </w:p>
                <w:p>
                  <w:pPr>
                    <w:widowControl/>
                    <w:adjustRightInd w:val="0"/>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2、</w:t>
                  </w:r>
                  <w:r>
                    <w:rPr>
                      <w:rFonts w:hint="eastAsia" w:ascii="宋体" w:hAnsi="宋体" w:eastAsia="宋体" w:cs="宋体"/>
                      <w:sz w:val="18"/>
                      <w:szCs w:val="18"/>
                    </w:rPr>
                    <w:t>设置地沟或配套其他应急措施</w:t>
                  </w:r>
                  <w:r>
                    <w:rPr>
                      <w:rFonts w:hint="eastAsia" w:ascii="宋体" w:hAnsi="宋体" w:eastAsia="宋体" w:cs="宋体"/>
                      <w:kern w:val="0"/>
                      <w:sz w:val="18"/>
                      <w:szCs w:val="18"/>
                    </w:rPr>
                    <w:t>，有效收集</w:t>
                  </w:r>
                  <w:r>
                    <w:rPr>
                      <w:rFonts w:hint="eastAsia" w:ascii="宋体" w:hAnsi="宋体" w:eastAsia="宋体" w:cs="宋体"/>
                      <w:kern w:val="0"/>
                      <w:sz w:val="18"/>
                      <w:szCs w:val="18"/>
                      <w:lang w:eastAsia="zh-CN"/>
                    </w:rPr>
                    <w:t>泄漏</w:t>
                  </w:r>
                  <w:r>
                    <w:rPr>
                      <w:rFonts w:hint="eastAsia" w:ascii="宋体" w:hAnsi="宋体" w:eastAsia="宋体" w:cs="宋体"/>
                      <w:kern w:val="0"/>
                      <w:sz w:val="18"/>
                      <w:szCs w:val="18"/>
                    </w:rPr>
                    <w:t>的危险化学品</w:t>
                  </w:r>
                </w:p>
              </w:tc>
            </w:tr>
            <w:tr>
              <w:tblPrEx>
                <w:tblBorders>
                  <w:top w:val="single" w:color="000000" w:sz="12" w:space="0"/>
                  <w:left w:val="none" w:color="auto" w:sz="0" w:space="0"/>
                  <w:bottom w:val="single" w:color="000000" w:sz="12" w:space="0"/>
                  <w:right w:val="none" w:color="auto" w:sz="0" w:space="0"/>
                  <w:insideH w:val="single" w:color="000000" w:sz="2" w:space="0"/>
                  <w:insideV w:val="single" w:color="000000" w:sz="2" w:space="0"/>
                </w:tblBorders>
                <w:tblCellMar>
                  <w:top w:w="0" w:type="dxa"/>
                  <w:left w:w="108" w:type="dxa"/>
                  <w:bottom w:w="0" w:type="dxa"/>
                  <w:right w:w="108" w:type="dxa"/>
                </w:tblCellMar>
              </w:tblPrEx>
              <w:trPr>
                <w:trHeight w:val="338" w:hRule="atLeast"/>
              </w:trPr>
              <w:tc>
                <w:tcPr>
                  <w:tcW w:w="5000" w:type="pct"/>
                  <w:gridSpan w:val="5"/>
                  <w:vAlign w:val="center"/>
                </w:tcPr>
                <w:p>
                  <w:pPr>
                    <w:widowControl/>
                    <w:adjustRightInd w:val="0"/>
                    <w:snapToGrid w:val="0"/>
                    <w:jc w:val="left"/>
                    <w:rPr>
                      <w:rFonts w:hint="eastAsia" w:ascii="宋体" w:hAnsi="宋体" w:eastAsia="宋体" w:cs="宋体"/>
                      <w:kern w:val="0"/>
                      <w:sz w:val="18"/>
                      <w:szCs w:val="18"/>
                    </w:rPr>
                  </w:pPr>
                  <w:r>
                    <w:rPr>
                      <w:rFonts w:hint="eastAsia" w:ascii="宋体" w:hAnsi="宋体" w:eastAsia="宋体" w:cs="宋体"/>
                      <w:kern w:val="0"/>
                      <w:sz w:val="18"/>
                      <w:szCs w:val="18"/>
                    </w:rPr>
                    <w:t>填表说明（列出项目相关信息及评价说明）：</w:t>
                  </w:r>
                </w:p>
                <w:p>
                  <w:pPr>
                    <w:widowControl/>
                    <w:adjustRightInd w:val="0"/>
                    <w:snapToGrid w:val="0"/>
                    <w:ind w:firstLine="360" w:firstLineChars="200"/>
                    <w:jc w:val="left"/>
                    <w:rPr>
                      <w:rFonts w:hint="eastAsia" w:ascii="宋体" w:hAnsi="宋体" w:eastAsia="宋体" w:cs="宋体"/>
                      <w:color w:val="FF0000"/>
                      <w:kern w:val="0"/>
                      <w:sz w:val="18"/>
                      <w:szCs w:val="18"/>
                    </w:rPr>
                  </w:pPr>
                  <w:r>
                    <w:rPr>
                      <w:rFonts w:hint="eastAsia" w:ascii="宋体" w:hAnsi="宋体" w:eastAsia="宋体" w:cs="宋体"/>
                      <w:kern w:val="0"/>
                      <w:sz w:val="18"/>
                      <w:szCs w:val="18"/>
                    </w:rPr>
                    <w:t>本项目环境风险潜势为Ⅰ，只需要进行简单分析。企业应加强车间安全生产管理，废气处理装置发生故障、废水处理设施发生故障、车间发生火灾事故以及主要环境风险物质泄漏后通过采取相应措施，不会对周边大气环境、地表水环境、土壤环境及地下水环境产生影响。因此，采取相应的风险防范措施后，本项目环境风险水平可接受。</w:t>
                  </w:r>
                </w:p>
              </w:tc>
            </w:tr>
          </w:tbl>
          <w:p>
            <w:pPr>
              <w:widowControl/>
              <w:shd w:val="clear" w:color="auto" w:fill="FFFFFF"/>
              <w:spacing w:line="360" w:lineRule="auto"/>
              <w:jc w:val="left"/>
              <w:rPr>
                <w:rFonts w:hint="default" w:ascii="Times New Roman" w:hAnsi="Times New Roman" w:cs="Times New Roman"/>
                <w:b/>
                <w:bCs/>
                <w:sz w:val="21"/>
                <w:szCs w:val="21"/>
              </w:rPr>
            </w:pPr>
            <w:r>
              <w:rPr>
                <w:rFonts w:hint="default" w:ascii="Times New Roman" w:hAnsi="Times New Roman" w:cs="Times New Roman"/>
                <w:b/>
                <w:bCs/>
                <w:sz w:val="21"/>
                <w:szCs w:val="21"/>
              </w:rPr>
              <w:t>8、电磁辐射</w:t>
            </w:r>
          </w:p>
          <w:p>
            <w:pPr>
              <w:spacing w:line="360" w:lineRule="auto"/>
              <w:ind w:firstLine="210" w:firstLineChars="100"/>
              <w:rPr>
                <w:color w:val="FF0000"/>
              </w:rPr>
            </w:pPr>
            <w:r>
              <w:rPr>
                <w:rFonts w:hint="default" w:ascii="Times New Roman" w:hAnsi="Times New Roman" w:cs="Times New Roman"/>
                <w:sz w:val="21"/>
                <w:szCs w:val="21"/>
              </w:rPr>
              <w:t>本项目不涉及。</w:t>
            </w:r>
          </w:p>
        </w:tc>
      </w:tr>
    </w:tbl>
    <w:p>
      <w:pPr>
        <w:adjustRightInd w:val="0"/>
        <w:snapToGrid w:val="0"/>
        <w:spacing w:line="360" w:lineRule="auto"/>
        <w:rPr>
          <w:b/>
          <w:color w:val="FF0000"/>
          <w:kern w:val="0"/>
          <w:sz w:val="28"/>
          <w:szCs w:val="28"/>
        </w:rPr>
        <w:sectPr>
          <w:pgSz w:w="11907" w:h="16840"/>
          <w:pgMar w:top="1440" w:right="1080" w:bottom="1440" w:left="1080" w:header="851" w:footer="851" w:gutter="0"/>
          <w:cols w:space="720" w:num="1"/>
          <w:docGrid w:linePitch="312" w:charSpace="0"/>
        </w:sectPr>
      </w:pPr>
    </w:p>
    <w:p>
      <w:pPr>
        <w:pStyle w:val="32"/>
        <w:jc w:val="center"/>
        <w:outlineLvl w:val="0"/>
        <w:rPr>
          <w:rFonts w:ascii="Times New Roman" w:hAnsi="Times New Roman"/>
          <w:b/>
          <w:bCs/>
          <w:snapToGrid w:val="0"/>
          <w:sz w:val="30"/>
          <w:szCs w:val="30"/>
        </w:rPr>
      </w:pPr>
      <w:r>
        <w:rPr>
          <w:rFonts w:ascii="Times New Roman" w:hAnsi="Times New Roman"/>
          <w:b/>
          <w:bCs/>
          <w:snapToGrid w:val="0"/>
          <w:sz w:val="30"/>
          <w:szCs w:val="30"/>
        </w:rPr>
        <w:t>五、</w:t>
      </w:r>
      <w:bookmarkStart w:id="2" w:name="_Hlk54167917"/>
      <w:r>
        <w:rPr>
          <w:rFonts w:ascii="Times New Roman" w:hAnsi="Times New Roman"/>
          <w:b/>
          <w:bCs/>
          <w:snapToGrid w:val="0"/>
          <w:sz w:val="30"/>
          <w:szCs w:val="30"/>
        </w:rPr>
        <w:t>环境保护措施监督检查清单</w:t>
      </w:r>
      <w:bookmarkEnd w:id="2"/>
    </w:p>
    <w:tbl>
      <w:tblPr>
        <w:tblStyle w:val="36"/>
        <w:tblW w:w="907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357"/>
        <w:gridCol w:w="1903"/>
        <w:gridCol w:w="2313"/>
        <w:gridCol w:w="239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110" w:type="dxa"/>
            <w:tcBorders>
              <w:tl2br w:val="single" w:color="auto" w:sz="4" w:space="0"/>
            </w:tcBorders>
          </w:tcPr>
          <w:p>
            <w:pPr>
              <w:adjustRightInd w:val="0"/>
              <w:snapToGrid w:val="0"/>
              <w:spacing w:line="276" w:lineRule="auto"/>
              <w:ind w:firstLine="360" w:firstLineChars="200"/>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内容</w:t>
            </w:r>
          </w:p>
          <w:p>
            <w:pPr>
              <w:adjustRightInd w:val="0"/>
              <w:snapToGrid w:val="0"/>
              <w:spacing w:line="276" w:lineRule="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要素</w:t>
            </w:r>
          </w:p>
        </w:tc>
        <w:tc>
          <w:tcPr>
            <w:tcW w:w="1357" w:type="dxa"/>
            <w:vAlign w:val="center"/>
          </w:tcPr>
          <w:p>
            <w:pPr>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排放口</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编号、名称</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/污染源</w:t>
            </w:r>
          </w:p>
        </w:tc>
        <w:tc>
          <w:tcPr>
            <w:tcW w:w="1903" w:type="dxa"/>
            <w:vAlign w:val="center"/>
          </w:tcPr>
          <w:p>
            <w:pPr>
              <w:adjustRightInd w:val="0"/>
              <w:snapToGrid w:val="0"/>
              <w:spacing w:line="276" w:lineRule="auto"/>
              <w:ind w:firstLine="180" w:firstLineChars="100"/>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污染物项目</w:t>
            </w:r>
          </w:p>
        </w:tc>
        <w:tc>
          <w:tcPr>
            <w:tcW w:w="2313" w:type="dxa"/>
            <w:vAlign w:val="center"/>
          </w:tcPr>
          <w:p>
            <w:pPr>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环境保护措施</w:t>
            </w:r>
          </w:p>
        </w:tc>
        <w:tc>
          <w:tcPr>
            <w:tcW w:w="2394" w:type="dxa"/>
            <w:vAlign w:val="center"/>
          </w:tcPr>
          <w:p>
            <w:pPr>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1110" w:type="dxa"/>
            <w:vAlign w:val="center"/>
          </w:tcPr>
          <w:p>
            <w:pPr>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大气环境</w:t>
            </w:r>
          </w:p>
        </w:tc>
        <w:tc>
          <w:tcPr>
            <w:tcW w:w="1357" w:type="dxa"/>
            <w:vAlign w:val="center"/>
          </w:tcPr>
          <w:p>
            <w:pPr>
              <w:adjustRightInd w:val="0"/>
              <w:snapToGrid w:val="0"/>
              <w:spacing w:line="276" w:lineRule="auto"/>
              <w:jc w:val="center"/>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val="en-US" w:eastAsia="zh-CN"/>
              </w:rPr>
              <w:t>无组织</w:t>
            </w:r>
          </w:p>
        </w:tc>
        <w:tc>
          <w:tcPr>
            <w:tcW w:w="1903" w:type="dxa"/>
            <w:vAlign w:val="center"/>
          </w:tcPr>
          <w:p>
            <w:pPr>
              <w:adjustRightInd w:val="0"/>
              <w:snapToGrid w:val="0"/>
              <w:spacing w:line="276" w:lineRule="auto"/>
              <w:jc w:val="center"/>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color w:val="auto"/>
                <w:sz w:val="18"/>
                <w:szCs w:val="18"/>
                <w:lang w:val="en-US" w:eastAsia="zh-CN"/>
              </w:rPr>
              <w:t>臭气浓度</w:t>
            </w:r>
          </w:p>
        </w:tc>
        <w:tc>
          <w:tcPr>
            <w:tcW w:w="2313" w:type="dxa"/>
            <w:vAlign w:val="center"/>
          </w:tcPr>
          <w:p>
            <w:pPr>
              <w:adjustRightInd w:val="0"/>
              <w:snapToGrid w:val="0"/>
              <w:spacing w:line="276" w:lineRule="auto"/>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建设单位严加管理，及时将粪便收集并密闭暂存，做好消毒除臭，加强房间通风</w:t>
            </w:r>
          </w:p>
        </w:tc>
        <w:tc>
          <w:tcPr>
            <w:tcW w:w="2394" w:type="dxa"/>
            <w:vAlign w:val="center"/>
          </w:tcPr>
          <w:p>
            <w:pPr>
              <w:keepNext w:val="0"/>
              <w:keepLines w:val="0"/>
              <w:pageBreakBefore w:val="0"/>
              <w:widowControl w:val="0"/>
              <w:kinsoku/>
              <w:wordWrap w:val="0"/>
              <w:overflowPunct/>
              <w:topLinePunct w:val="0"/>
              <w:autoSpaceDE/>
              <w:autoSpaceDN/>
              <w:bidi w:val="0"/>
              <w:adjustRightInd w:val="0"/>
              <w:snapToGrid w:val="0"/>
              <w:spacing w:line="276" w:lineRule="auto"/>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《医疗机构水污染物排放标准》（GB18466-2005）表 3 标准限值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110" w:type="dxa"/>
            <w:vMerge w:val="restart"/>
            <w:vAlign w:val="center"/>
          </w:tcPr>
          <w:p>
            <w:pPr>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地表水环境</w:t>
            </w:r>
          </w:p>
        </w:tc>
        <w:tc>
          <w:tcPr>
            <w:tcW w:w="1357" w:type="dxa"/>
            <w:vMerge w:val="restart"/>
            <w:vAlign w:val="center"/>
          </w:tcPr>
          <w:p>
            <w:pPr>
              <w:adjustRightInd w:val="0"/>
              <w:snapToGrid w:val="0"/>
              <w:spacing w:line="276" w:lineRule="auto"/>
              <w:jc w:val="center"/>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医疗废水</w:t>
            </w: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pH</w:t>
            </w:r>
          </w:p>
        </w:tc>
        <w:tc>
          <w:tcPr>
            <w:tcW w:w="2313" w:type="dxa"/>
            <w:vMerge w:val="restart"/>
            <w:vAlign w:val="center"/>
          </w:tcPr>
          <w:p>
            <w:pPr>
              <w:adjustRightInd w:val="0"/>
              <w:snapToGrid w:val="0"/>
              <w:spacing w:line="276" w:lineRule="auto"/>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预处理消毒后排入市政管网</w:t>
            </w:r>
          </w:p>
        </w:tc>
        <w:tc>
          <w:tcPr>
            <w:tcW w:w="2394" w:type="dxa"/>
            <w:vMerge w:val="restart"/>
            <w:vAlign w:val="center"/>
          </w:tcPr>
          <w:p>
            <w:pPr>
              <w:keepNext w:val="0"/>
              <w:keepLines w:val="0"/>
              <w:pageBreakBefore w:val="0"/>
              <w:widowControl w:val="0"/>
              <w:kinsoku/>
              <w:wordWrap w:val="0"/>
              <w:overflowPunct/>
              <w:topLinePunct w:val="0"/>
              <w:autoSpaceDE/>
              <w:autoSpaceDN/>
              <w:bidi w:val="0"/>
              <w:adjustRightInd w:val="0"/>
              <w:snapToGrid w:val="0"/>
              <w:spacing w:line="276" w:lineRule="auto"/>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lang w:eastAsia="en-US"/>
              </w:rPr>
              <w:t>《医疗机构水污染物排放标准》（GB18466-2005）</w:t>
            </w:r>
            <w:r>
              <w:rPr>
                <w:rFonts w:hint="default" w:ascii="Times New Roman" w:hAnsi="Times New Roman" w:eastAsia="宋体" w:cs="Times New Roman"/>
                <w:sz w:val="18"/>
                <w:szCs w:val="18"/>
              </w:rPr>
              <w:t>表2中的“预处理标准”相关标准限值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COD</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SS</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粪大肠菌群</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LAS</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en-US"/>
              </w:rPr>
              <w:t>总余氯</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restart"/>
            <w:vAlign w:val="center"/>
          </w:tcPr>
          <w:p>
            <w:pPr>
              <w:adjustRightInd w:val="0"/>
              <w:snapToGrid w:val="0"/>
              <w:spacing w:line="276" w:lineRule="auto"/>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生活污水</w:t>
            </w: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pH</w:t>
            </w:r>
          </w:p>
        </w:tc>
        <w:tc>
          <w:tcPr>
            <w:tcW w:w="2313" w:type="dxa"/>
            <w:vMerge w:val="restart"/>
            <w:vAlign w:val="center"/>
          </w:tcPr>
          <w:p>
            <w:pPr>
              <w:adjustRightInd w:val="0"/>
              <w:snapToGrid w:val="0"/>
              <w:spacing w:line="276" w:lineRule="auto"/>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sz w:val="18"/>
                <w:szCs w:val="18"/>
              </w:rPr>
              <w:t>接管至太仓市城东污水处理厂集中处理，尾水排入新浏河</w:t>
            </w:r>
          </w:p>
        </w:tc>
        <w:tc>
          <w:tcPr>
            <w:tcW w:w="2394" w:type="dxa"/>
            <w:vMerge w:val="restart"/>
            <w:vAlign w:val="center"/>
          </w:tcPr>
          <w:p>
            <w:pPr>
              <w:adjustRightInd w:val="0"/>
              <w:snapToGrid w:val="0"/>
              <w:spacing w:line="276" w:lineRule="auto"/>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sz w:val="18"/>
                <w:szCs w:val="18"/>
              </w:rPr>
              <w:t>《污水综合排放标准》（GB8978-1996）表4三级标准、《污水排入城镇下水道水质标准》（GB/T31962-2015）表1A等级标准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COD</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SS</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氨氮</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总磷</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总氮</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restart"/>
            <w:vAlign w:val="center"/>
          </w:tcPr>
          <w:p>
            <w:pPr>
              <w:adjustRightInd w:val="0"/>
              <w:snapToGrid w:val="0"/>
              <w:spacing w:line="276" w:lineRule="auto"/>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洗浴污水</w:t>
            </w: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pH</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COD</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SS</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氨氮</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总磷</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LAS</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 w:hRule="atLeast"/>
          <w:jc w:val="center"/>
        </w:trPr>
        <w:tc>
          <w:tcPr>
            <w:tcW w:w="1110"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357" w:type="dxa"/>
            <w:vMerge w:val="continue"/>
            <w:vAlign w:val="center"/>
          </w:tcPr>
          <w:p>
            <w:pPr>
              <w:adjustRightInd w:val="0"/>
              <w:snapToGrid w:val="0"/>
              <w:spacing w:line="276" w:lineRule="auto"/>
              <w:jc w:val="center"/>
              <w:rPr>
                <w:rFonts w:hint="default" w:ascii="Times New Roman" w:hAnsi="Times New Roman" w:eastAsia="宋体" w:cs="Times New Roman"/>
                <w:sz w:val="18"/>
                <w:szCs w:val="18"/>
              </w:rPr>
            </w:pPr>
          </w:p>
        </w:tc>
        <w:tc>
          <w:tcPr>
            <w:tcW w:w="1903"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总氮</w:t>
            </w:r>
          </w:p>
        </w:tc>
        <w:tc>
          <w:tcPr>
            <w:tcW w:w="2313"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c>
          <w:tcPr>
            <w:tcW w:w="2394" w:type="dxa"/>
            <w:vMerge w:val="continue"/>
            <w:vAlign w:val="center"/>
          </w:tcPr>
          <w:p>
            <w:pPr>
              <w:adjustRightInd w:val="0"/>
              <w:snapToGrid w:val="0"/>
              <w:spacing w:line="276" w:lineRule="auto"/>
              <w:jc w:val="center"/>
              <w:rPr>
                <w:rFonts w:hint="default" w:ascii="Times New Roman" w:hAnsi="Times New Roman" w:eastAsia="宋体" w:cs="Times New Roman"/>
                <w:color w:val="FF000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110" w:type="dxa"/>
            <w:vAlign w:val="center"/>
          </w:tcPr>
          <w:p>
            <w:pPr>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声环境</w:t>
            </w:r>
          </w:p>
        </w:tc>
        <w:tc>
          <w:tcPr>
            <w:tcW w:w="1357" w:type="dxa"/>
            <w:vAlign w:val="center"/>
          </w:tcPr>
          <w:p>
            <w:pPr>
              <w:adjustRightInd w:val="0"/>
              <w:snapToGrid w:val="0"/>
              <w:spacing w:line="276" w:lineRule="auto"/>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医疗设备/宠物叫声</w:t>
            </w:r>
          </w:p>
        </w:tc>
        <w:tc>
          <w:tcPr>
            <w:tcW w:w="1903" w:type="dxa"/>
            <w:vAlign w:val="center"/>
          </w:tcPr>
          <w:p>
            <w:pPr>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Leq(A)</w:t>
            </w:r>
          </w:p>
        </w:tc>
        <w:tc>
          <w:tcPr>
            <w:tcW w:w="2313" w:type="dxa"/>
            <w:vAlign w:val="center"/>
          </w:tcPr>
          <w:p>
            <w:pPr>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采取合理布局，以及隔声距离衰减等措施。</w:t>
            </w:r>
          </w:p>
        </w:tc>
        <w:tc>
          <w:tcPr>
            <w:tcW w:w="2394" w:type="dxa"/>
            <w:vAlign w:val="center"/>
          </w:tcPr>
          <w:p>
            <w:pPr>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kern w:val="2"/>
                <w:sz w:val="18"/>
                <w:szCs w:val="18"/>
                <w:lang w:val="en-US" w:eastAsia="zh-CN" w:bidi="ar-SA"/>
              </w:rPr>
              <w:t>《社会生活环境噪声排放标准》（GB22337-2008）表1中2类标准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0" w:type="dxa"/>
            <w:vAlign w:val="center"/>
          </w:tcPr>
          <w:p>
            <w:pPr>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电磁辐射</w:t>
            </w:r>
          </w:p>
        </w:tc>
        <w:tc>
          <w:tcPr>
            <w:tcW w:w="7967" w:type="dxa"/>
            <w:gridSpan w:val="4"/>
            <w:vAlign w:val="center"/>
          </w:tcPr>
          <w:p>
            <w:pPr>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本项目不涉及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110" w:type="dxa"/>
            <w:vAlign w:val="center"/>
          </w:tcPr>
          <w:p>
            <w:pPr>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固体废物</w:t>
            </w:r>
          </w:p>
        </w:tc>
        <w:tc>
          <w:tcPr>
            <w:tcW w:w="7967" w:type="dxa"/>
            <w:gridSpan w:val="4"/>
            <w:vAlign w:val="center"/>
          </w:tcPr>
          <w:p>
            <w:pPr>
              <w:adjustRightInd w:val="0"/>
              <w:snapToGrid w:val="0"/>
              <w:spacing w:line="276" w:lineRule="auto"/>
              <w:ind w:firstLine="392" w:firstLineChars="200"/>
              <w:jc w:val="left"/>
              <w:rPr>
                <w:rFonts w:hint="default" w:ascii="Times New Roman" w:hAnsi="Times New Roman" w:eastAsia="宋体" w:cs="Times New Roman"/>
                <w:sz w:val="18"/>
                <w:szCs w:val="18"/>
              </w:rPr>
            </w:pPr>
            <w:r>
              <w:rPr>
                <w:rFonts w:hint="default" w:ascii="Times New Roman" w:hAnsi="Times New Roman" w:eastAsia="宋体" w:cs="Times New Roman"/>
                <w:spacing w:val="8"/>
                <w:sz w:val="18"/>
                <w:szCs w:val="18"/>
                <w:shd w:val="clear" w:color="auto" w:fill="FFFFFF"/>
              </w:rPr>
              <w:t>本项目产生的</w:t>
            </w:r>
            <w:r>
              <w:rPr>
                <w:rFonts w:hint="default" w:ascii="Times New Roman" w:hAnsi="Times New Roman" w:eastAsia="宋体" w:cs="Times New Roman"/>
                <w:spacing w:val="8"/>
                <w:sz w:val="18"/>
                <w:szCs w:val="18"/>
                <w:shd w:val="clear" w:color="auto" w:fill="FFFFFF"/>
                <w:lang w:val="en-US" w:eastAsia="zh-CN"/>
              </w:rPr>
              <w:t>感染性废物、病理性废物</w:t>
            </w:r>
            <w:r>
              <w:rPr>
                <w:rFonts w:hint="default" w:ascii="Times New Roman" w:hAnsi="Times New Roman" w:eastAsia="宋体" w:cs="Times New Roman"/>
                <w:spacing w:val="8"/>
                <w:sz w:val="18"/>
                <w:szCs w:val="18"/>
                <w:shd w:val="clear" w:color="auto" w:fill="FFFFFF"/>
              </w:rPr>
              <w:t>为危险废物，集中收集委托有资质单位处理；生活垃圾由环卫部门定期清运处理。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110" w:type="dxa"/>
            <w:vAlign w:val="center"/>
          </w:tcPr>
          <w:p>
            <w:pPr>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土壤及地下水污染防治措施</w:t>
            </w:r>
          </w:p>
        </w:tc>
        <w:tc>
          <w:tcPr>
            <w:tcW w:w="7967" w:type="dxa"/>
            <w:gridSpan w:val="4"/>
            <w:vAlign w:val="center"/>
          </w:tcPr>
          <w:p>
            <w:pPr>
              <w:adjustRightInd w:val="0"/>
              <w:snapToGrid w:val="0"/>
              <w:spacing w:line="276" w:lineRule="auto"/>
              <w:ind w:firstLine="392" w:firstLineChars="200"/>
              <w:jc w:val="left"/>
              <w:rPr>
                <w:rFonts w:hint="default" w:ascii="Times New Roman" w:hAnsi="Times New Roman" w:eastAsia="宋体" w:cs="Times New Roman"/>
                <w:sz w:val="18"/>
                <w:szCs w:val="18"/>
              </w:rPr>
            </w:pPr>
            <w:r>
              <w:rPr>
                <w:rFonts w:hint="default" w:ascii="Times New Roman" w:hAnsi="Times New Roman" w:eastAsia="宋体" w:cs="Times New Roman"/>
                <w:spacing w:val="8"/>
                <w:sz w:val="18"/>
                <w:szCs w:val="18"/>
                <w:shd w:val="clear" w:color="auto" w:fill="FFFFFF"/>
              </w:rPr>
              <w:t>对厂内污染区地面的防渗措施和泄漏、渗漏污染物收集措施，即在污染区地面进行防渗处理，防止洒落地面的污染物渗入地下，并把滞留在地面的污染物收集起来集中处理，从而避免对地下水的污染。结合项目各生产设备、贮存等因素，根据项目场地污染控制难易程度和污染物特性对全厂进行分区防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1110" w:type="dxa"/>
            <w:vAlign w:val="center"/>
          </w:tcPr>
          <w:p>
            <w:pPr>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生态保护措施</w:t>
            </w:r>
          </w:p>
        </w:tc>
        <w:tc>
          <w:tcPr>
            <w:tcW w:w="7967" w:type="dxa"/>
            <w:gridSpan w:val="4"/>
            <w:vAlign w:val="center"/>
          </w:tcPr>
          <w:p>
            <w:pPr>
              <w:adjustRightInd w:val="0"/>
              <w:snapToGrid w:val="0"/>
              <w:spacing w:line="276" w:lineRule="auto"/>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110" w:type="dxa"/>
            <w:vAlign w:val="center"/>
          </w:tcPr>
          <w:p>
            <w:pPr>
              <w:adjustRightInd w:val="0"/>
              <w:snapToGrid w:val="0"/>
              <w:spacing w:line="276" w:lineRule="auto"/>
              <w:jc w:val="center"/>
              <w:rPr>
                <w:rFonts w:hint="default" w:ascii="Times New Roman" w:hAnsi="Times New Roman" w:eastAsia="宋体" w:cs="Times New Roman"/>
                <w:spacing w:val="-8"/>
                <w:sz w:val="18"/>
                <w:szCs w:val="18"/>
              </w:rPr>
            </w:pPr>
            <w:r>
              <w:rPr>
                <w:rFonts w:hint="default" w:ascii="Times New Roman" w:hAnsi="Times New Roman" w:eastAsia="宋体" w:cs="Times New Roman"/>
                <w:spacing w:val="-8"/>
                <w:sz w:val="18"/>
                <w:szCs w:val="18"/>
              </w:rPr>
              <w:t>环境风险</w:t>
            </w:r>
          </w:p>
          <w:p>
            <w:pPr>
              <w:adjustRightInd w:val="0"/>
              <w:snapToGrid w:val="0"/>
              <w:spacing w:line="276" w:lineRule="auto"/>
              <w:jc w:val="center"/>
              <w:rPr>
                <w:rFonts w:hint="default" w:ascii="Times New Roman" w:hAnsi="Times New Roman" w:eastAsia="宋体" w:cs="Times New Roman"/>
                <w:spacing w:val="-8"/>
                <w:sz w:val="18"/>
                <w:szCs w:val="18"/>
              </w:rPr>
            </w:pPr>
            <w:r>
              <w:rPr>
                <w:rFonts w:hint="default" w:ascii="Times New Roman" w:hAnsi="Times New Roman" w:eastAsia="宋体" w:cs="Times New Roman"/>
                <w:spacing w:val="-8"/>
                <w:sz w:val="18"/>
                <w:szCs w:val="18"/>
              </w:rPr>
              <w:t>防范措施</w:t>
            </w:r>
          </w:p>
        </w:tc>
        <w:tc>
          <w:tcPr>
            <w:tcW w:w="7967" w:type="dxa"/>
            <w:gridSpan w:val="4"/>
            <w:vAlign w:val="center"/>
          </w:tcPr>
          <w:p>
            <w:pPr>
              <w:adjustRightInd w:val="0"/>
              <w:snapToGrid w:val="0"/>
              <w:spacing w:line="276" w:lineRule="auto"/>
              <w:ind w:firstLine="392" w:firstLineChars="200"/>
              <w:rPr>
                <w:rFonts w:hint="default" w:ascii="Times New Roman" w:hAnsi="Times New Roman" w:eastAsia="宋体" w:cs="Times New Roman"/>
                <w:sz w:val="18"/>
                <w:szCs w:val="18"/>
              </w:rPr>
            </w:pPr>
            <w:r>
              <w:rPr>
                <w:rFonts w:hint="default" w:ascii="Times New Roman" w:hAnsi="Times New Roman" w:eastAsia="宋体" w:cs="Times New Roman"/>
                <w:spacing w:val="8"/>
                <w:sz w:val="18"/>
                <w:szCs w:val="18"/>
                <w:shd w:val="clear" w:color="auto" w:fill="FFFFFF"/>
                <w:lang w:val="en-US" w:eastAsia="zh-CN"/>
              </w:rPr>
              <w:t>危险废物暂存间设置明显的标志，并由专人管理，配备消防器材、防护面罩、胶皮手套、沙袋、收集桶等应急物资或设备；发生泄漏时应用吸收棉或其他材料吸附或吸收，然后置于桶内收集</w:t>
            </w:r>
            <w:r>
              <w:rPr>
                <w:rFonts w:hint="default" w:ascii="Times New Roman" w:hAnsi="Times New Roman" w:eastAsia="宋体" w:cs="Times New Roman"/>
                <w:spacing w:val="8"/>
                <w:sz w:val="18"/>
                <w:szCs w:val="18"/>
                <w:shd w:val="clear" w:color="auto" w:fill="FFFFFF"/>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09" w:hRule="atLeast"/>
          <w:jc w:val="center"/>
        </w:trPr>
        <w:tc>
          <w:tcPr>
            <w:tcW w:w="1110" w:type="dxa"/>
            <w:vAlign w:val="center"/>
          </w:tcPr>
          <w:p>
            <w:pPr>
              <w:adjustRightInd w:val="0"/>
              <w:snapToGrid w:val="0"/>
              <w:spacing w:line="276" w:lineRule="auto"/>
              <w:jc w:val="center"/>
              <w:rPr>
                <w:rFonts w:hint="default" w:ascii="Times New Roman" w:hAnsi="Times New Roman" w:eastAsia="宋体" w:cs="Times New Roman"/>
                <w:spacing w:val="-8"/>
                <w:sz w:val="18"/>
                <w:szCs w:val="18"/>
              </w:rPr>
            </w:pPr>
            <w:r>
              <w:rPr>
                <w:rFonts w:hint="default" w:ascii="Times New Roman" w:hAnsi="Times New Roman" w:eastAsia="宋体" w:cs="Times New Roman"/>
                <w:spacing w:val="-8"/>
                <w:sz w:val="18"/>
                <w:szCs w:val="18"/>
              </w:rPr>
              <w:t>其他环境</w:t>
            </w:r>
          </w:p>
          <w:p>
            <w:pPr>
              <w:adjustRightInd w:val="0"/>
              <w:snapToGrid w:val="0"/>
              <w:spacing w:line="276" w:lineRule="auto"/>
              <w:jc w:val="center"/>
              <w:rPr>
                <w:rFonts w:hint="default" w:ascii="Times New Roman" w:hAnsi="Times New Roman" w:eastAsia="宋体" w:cs="Times New Roman"/>
                <w:spacing w:val="-8"/>
                <w:sz w:val="18"/>
                <w:szCs w:val="18"/>
              </w:rPr>
            </w:pPr>
            <w:r>
              <w:rPr>
                <w:rFonts w:hint="default" w:ascii="Times New Roman" w:hAnsi="Times New Roman" w:eastAsia="宋体" w:cs="Times New Roman"/>
                <w:spacing w:val="-8"/>
                <w:sz w:val="18"/>
                <w:szCs w:val="18"/>
              </w:rPr>
              <w:t>管理要求</w:t>
            </w:r>
          </w:p>
        </w:tc>
        <w:tc>
          <w:tcPr>
            <w:tcW w:w="7967" w:type="dxa"/>
            <w:gridSpan w:val="4"/>
            <w:vAlign w:val="center"/>
          </w:tcPr>
          <w:p>
            <w:pPr>
              <w:adjustRightInd w:val="0"/>
              <w:snapToGrid w:val="0"/>
              <w:spacing w:line="276" w:lineRule="auto"/>
              <w:jc w:val="left"/>
              <w:rPr>
                <w:rFonts w:hint="default" w:ascii="Times New Roman" w:hAnsi="Times New Roman" w:eastAsia="宋体" w:cs="Times New Roman"/>
                <w:spacing w:val="8"/>
                <w:sz w:val="18"/>
                <w:szCs w:val="18"/>
                <w:shd w:val="clear" w:color="auto" w:fill="FFFFFF"/>
                <w:lang w:val="en-US" w:eastAsia="zh-CN"/>
              </w:rPr>
            </w:pPr>
            <w:r>
              <w:rPr>
                <w:rFonts w:hint="default" w:ascii="Times New Roman" w:hAnsi="Times New Roman" w:eastAsia="宋体" w:cs="Times New Roman"/>
                <w:spacing w:val="8"/>
                <w:sz w:val="18"/>
                <w:szCs w:val="18"/>
                <w:shd w:val="clear" w:color="auto" w:fill="FFFFFF"/>
                <w:lang w:val="en-US" w:eastAsia="zh-CN"/>
              </w:rPr>
              <w:t>1、定期检查环保设施或排污口的运行状况及对设备的维修与管理，</w:t>
            </w:r>
          </w:p>
          <w:p>
            <w:pPr>
              <w:adjustRightInd w:val="0"/>
              <w:snapToGrid w:val="0"/>
              <w:spacing w:line="276" w:lineRule="auto"/>
              <w:jc w:val="left"/>
              <w:rPr>
                <w:rFonts w:hint="default" w:ascii="Times New Roman" w:hAnsi="Times New Roman" w:eastAsia="宋体" w:cs="Times New Roman"/>
                <w:sz w:val="18"/>
                <w:szCs w:val="18"/>
              </w:rPr>
            </w:pPr>
            <w:r>
              <w:rPr>
                <w:rFonts w:hint="default" w:ascii="Times New Roman" w:hAnsi="Times New Roman" w:eastAsia="宋体" w:cs="Times New Roman"/>
                <w:spacing w:val="8"/>
                <w:sz w:val="18"/>
                <w:szCs w:val="18"/>
                <w:shd w:val="clear" w:color="auto" w:fill="FFFFFF"/>
                <w:lang w:val="en-US" w:eastAsia="zh-CN"/>
              </w:rPr>
              <w:t>2、按规定申报危险废物产生、贮存、转移、利用处置等信息，并制定其年度管理计划。</w:t>
            </w:r>
          </w:p>
        </w:tc>
      </w:tr>
    </w:tbl>
    <w:p>
      <w:pPr>
        <w:pStyle w:val="32"/>
        <w:jc w:val="center"/>
        <w:outlineLvl w:val="0"/>
        <w:rPr>
          <w:rFonts w:ascii="Times New Roman" w:hAnsi="Times New Roman"/>
          <w:b/>
          <w:bCs/>
          <w:snapToGrid w:val="0"/>
          <w:sz w:val="30"/>
          <w:szCs w:val="30"/>
        </w:rPr>
      </w:pPr>
      <w:r>
        <w:rPr>
          <w:rFonts w:ascii="Times New Roman" w:hAnsi="Times New Roman"/>
          <w:b/>
          <w:bCs/>
          <w:snapToGrid w:val="0"/>
          <w:color w:val="FF0000"/>
        </w:rPr>
        <w:br w:type="page"/>
      </w:r>
      <w:r>
        <w:rPr>
          <w:rFonts w:ascii="Times New Roman" w:hAnsi="Times New Roman"/>
          <w:b/>
          <w:bCs/>
          <w:snapToGrid w:val="0"/>
          <w:sz w:val="30"/>
          <w:szCs w:val="30"/>
        </w:rPr>
        <w:t>六、结论</w:t>
      </w:r>
    </w:p>
    <w:tbl>
      <w:tblPr>
        <w:tblStyle w:val="3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tcPr>
          <w:p>
            <w:pPr>
              <w:widowControl/>
              <w:shd w:val="clear" w:color="auto" w:fill="FFFFFF"/>
              <w:spacing w:line="360" w:lineRule="auto"/>
              <w:jc w:val="left"/>
              <w:rPr>
                <w:rFonts w:hint="eastAsia" w:ascii="宋体" w:hAnsi="宋体" w:eastAsia="宋体" w:cs="宋体"/>
                <w:b/>
                <w:spacing w:val="8"/>
                <w:kern w:val="0"/>
                <w:sz w:val="21"/>
                <w:szCs w:val="21"/>
              </w:rPr>
            </w:pPr>
            <w:r>
              <w:rPr>
                <w:rFonts w:hint="eastAsia" w:ascii="宋体" w:hAnsi="宋体" w:eastAsia="宋体" w:cs="宋体"/>
                <w:b/>
                <w:spacing w:val="8"/>
                <w:kern w:val="0"/>
                <w:sz w:val="21"/>
                <w:szCs w:val="21"/>
              </w:rPr>
              <w:t>1、结论</w:t>
            </w:r>
          </w:p>
          <w:p>
            <w:pPr>
              <w:widowControl/>
              <w:shd w:val="clear" w:color="auto" w:fill="FFFFFF"/>
              <w:spacing w:line="360" w:lineRule="auto"/>
              <w:ind w:firstLine="452" w:firstLineChars="200"/>
              <w:jc w:val="left"/>
              <w:rPr>
                <w:rFonts w:hint="eastAsia" w:ascii="宋体" w:hAnsi="宋体" w:eastAsia="宋体" w:cs="宋体"/>
                <w:spacing w:val="8"/>
                <w:kern w:val="0"/>
                <w:sz w:val="21"/>
                <w:szCs w:val="21"/>
              </w:rPr>
            </w:pPr>
            <w:r>
              <w:rPr>
                <w:rFonts w:hint="eastAsia" w:ascii="宋体" w:hAnsi="宋体" w:eastAsia="宋体" w:cs="宋体"/>
                <w:spacing w:val="8"/>
                <w:kern w:val="0"/>
                <w:sz w:val="21"/>
                <w:szCs w:val="21"/>
              </w:rPr>
              <w:t>综上所述，本项目符合国家相关产业政策，符合当地规划要求，选址比较合理；在认真落实各项环境保护措施后，污染物可以达标排放；对周围环境的影响可控制在允许范围内，不会改变项目周围地区的大气、水和声环境质量的现有功能要求。因此，从环境保护的角度来看，本项目的建设具有环境可行性。</w:t>
            </w:r>
          </w:p>
          <w:p>
            <w:pPr>
              <w:widowControl/>
              <w:shd w:val="clear" w:color="auto" w:fill="FFFFFF"/>
              <w:spacing w:line="360" w:lineRule="auto"/>
              <w:jc w:val="left"/>
              <w:rPr>
                <w:color w:val="FF0000"/>
                <w:spacing w:val="8"/>
                <w:kern w:val="0"/>
                <w:sz w:val="24"/>
              </w:rPr>
            </w:pPr>
          </w:p>
        </w:tc>
      </w:tr>
    </w:tbl>
    <w:p>
      <w:pPr>
        <w:rPr>
          <w:color w:val="FF0000"/>
        </w:rPr>
        <w:sectPr>
          <w:pgSz w:w="11906" w:h="16838"/>
          <w:pgMar w:top="1701" w:right="1531" w:bottom="1701" w:left="1531" w:header="851" w:footer="851" w:gutter="0"/>
          <w:cols w:space="720" w:num="1"/>
          <w:docGrid w:linePitch="312" w:charSpace="0"/>
        </w:sectPr>
      </w:pPr>
    </w:p>
    <w:p>
      <w:pPr>
        <w:pStyle w:val="32"/>
        <w:adjustRightInd w:val="0"/>
        <w:snapToGrid w:val="0"/>
        <w:spacing w:before="0" w:beforeAutospacing="0" w:after="0" w:afterAutospacing="0"/>
        <w:outlineLvl w:val="0"/>
        <w:rPr>
          <w:rFonts w:ascii="Times New Roman" w:hAnsi="Times New Roman"/>
          <w:snapToGrid w:val="0"/>
          <w:sz w:val="21"/>
          <w:szCs w:val="21"/>
        </w:rPr>
      </w:pPr>
      <w:r>
        <w:rPr>
          <w:rFonts w:ascii="Times New Roman" w:hAnsi="Times New Roman"/>
          <w:snapToGrid w:val="0"/>
          <w:sz w:val="21"/>
          <w:szCs w:val="21"/>
        </w:rPr>
        <w:t>附表</w:t>
      </w:r>
    </w:p>
    <w:p>
      <w:pPr>
        <w:pStyle w:val="32"/>
        <w:adjustRightInd w:val="0"/>
        <w:snapToGrid w:val="0"/>
        <w:spacing w:before="0" w:beforeAutospacing="0" w:after="0" w:afterAutospacing="0"/>
        <w:jc w:val="center"/>
        <w:outlineLvl w:val="0"/>
        <w:rPr>
          <w:rFonts w:ascii="Times New Roman" w:hAnsi="Times New Roman"/>
          <w:snapToGrid w:val="0"/>
          <w:sz w:val="21"/>
          <w:szCs w:val="21"/>
        </w:rPr>
      </w:pPr>
      <w:r>
        <w:rPr>
          <w:rFonts w:ascii="Times New Roman" w:hAnsi="Times New Roman"/>
          <w:snapToGrid w:val="0"/>
          <w:sz w:val="21"/>
          <w:szCs w:val="21"/>
        </w:rPr>
        <w:t>建设项目污染物排放量汇总表</w:t>
      </w:r>
    </w:p>
    <w:tbl>
      <w:tblPr>
        <w:tblStyle w:val="36"/>
        <w:tblW w:w="517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820"/>
        <w:gridCol w:w="820"/>
        <w:gridCol w:w="2173"/>
        <w:gridCol w:w="1487"/>
        <w:gridCol w:w="1664"/>
        <w:gridCol w:w="1748"/>
        <w:gridCol w:w="1147"/>
        <w:gridCol w:w="1322"/>
        <w:gridCol w:w="164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491" w:type="dxa"/>
            <w:tcBorders>
              <w:tl2br w:val="single" w:color="auto" w:sz="4" w:space="0"/>
            </w:tcBorders>
            <w:tcMar>
              <w:left w:w="28" w:type="dxa"/>
              <w:right w:w="28" w:type="dxa"/>
            </w:tcMar>
            <w:vAlign w:val="center"/>
          </w:tcPr>
          <w:p>
            <w:pPr>
              <w:pStyle w:val="118"/>
              <w:spacing w:beforeLines="0" w:afterLines="0" w:line="240" w:lineRule="auto"/>
              <w:ind w:firstLine="0" w:firstLineChars="0"/>
              <w:rPr>
                <w:rFonts w:hint="default" w:ascii="Times New Roman" w:hAnsi="Times New Roman" w:eastAsia="宋体" w:cs="Times New Roman"/>
                <w:snapToGrid w:val="0"/>
                <w:spacing w:val="-6"/>
                <w:kern w:val="21"/>
                <w:sz w:val="18"/>
                <w:szCs w:val="18"/>
              </w:rPr>
            </w:pPr>
            <w:r>
              <w:rPr>
                <w:rFonts w:hint="default" w:ascii="Times New Roman" w:hAnsi="Times New Roman" w:eastAsia="宋体" w:cs="Times New Roman"/>
                <w:snapToGrid w:val="0"/>
                <w:spacing w:val="-6"/>
                <w:kern w:val="21"/>
                <w:sz w:val="18"/>
                <w:szCs w:val="18"/>
              </w:rPr>
              <w:t>项目</w:t>
            </w:r>
          </w:p>
          <w:p>
            <w:pPr>
              <w:pStyle w:val="118"/>
              <w:spacing w:beforeLines="0" w:afterLines="0" w:line="240" w:lineRule="auto"/>
              <w:ind w:firstLine="0" w:firstLineChars="0"/>
              <w:jc w:val="both"/>
              <w:rPr>
                <w:rFonts w:hint="default" w:ascii="Times New Roman" w:hAnsi="Times New Roman" w:eastAsia="宋体" w:cs="Times New Roman"/>
                <w:snapToGrid w:val="0"/>
                <w:spacing w:val="-6"/>
                <w:kern w:val="21"/>
                <w:sz w:val="18"/>
                <w:szCs w:val="18"/>
              </w:rPr>
            </w:pPr>
            <w:r>
              <w:rPr>
                <w:rFonts w:hint="default" w:ascii="Times New Roman" w:hAnsi="Times New Roman" w:eastAsia="宋体" w:cs="Times New Roman"/>
                <w:snapToGrid w:val="0"/>
                <w:spacing w:val="-6"/>
                <w:kern w:val="21"/>
                <w:sz w:val="18"/>
                <w:szCs w:val="18"/>
              </w:rPr>
              <w:t>分类</w:t>
            </w:r>
          </w:p>
        </w:tc>
        <w:tc>
          <w:tcPr>
            <w:tcW w:w="1640" w:type="dxa"/>
            <w:gridSpan w:val="2"/>
            <w:tcMar>
              <w:left w:w="28" w:type="dxa"/>
              <w:right w:w="28" w:type="dxa"/>
            </w:tcMar>
            <w:vAlign w:val="center"/>
          </w:tcPr>
          <w:p>
            <w:pPr>
              <w:pStyle w:val="118"/>
              <w:spacing w:beforeLines="0" w:afterLines="0" w:line="240" w:lineRule="auto"/>
              <w:ind w:firstLine="0" w:firstLineChars="0"/>
              <w:rPr>
                <w:rFonts w:hint="default" w:ascii="Times New Roman" w:hAnsi="Times New Roman" w:eastAsia="宋体" w:cs="Times New Roman"/>
                <w:snapToGrid w:val="0"/>
                <w:spacing w:val="-6"/>
                <w:kern w:val="21"/>
                <w:sz w:val="18"/>
                <w:szCs w:val="18"/>
              </w:rPr>
            </w:pPr>
            <w:r>
              <w:rPr>
                <w:rFonts w:hint="default" w:ascii="Times New Roman" w:hAnsi="Times New Roman" w:eastAsia="宋体" w:cs="Times New Roman"/>
                <w:snapToGrid w:val="0"/>
                <w:spacing w:val="-6"/>
                <w:kern w:val="21"/>
                <w:sz w:val="18"/>
                <w:szCs w:val="18"/>
              </w:rPr>
              <w:t>污染物名称</w:t>
            </w:r>
          </w:p>
        </w:tc>
        <w:tc>
          <w:tcPr>
            <w:tcW w:w="2173" w:type="dxa"/>
            <w:tcMar>
              <w:left w:w="28" w:type="dxa"/>
              <w:right w:w="28" w:type="dxa"/>
            </w:tcMar>
            <w:vAlign w:val="center"/>
          </w:tcPr>
          <w:p>
            <w:pPr>
              <w:pStyle w:val="118"/>
              <w:spacing w:beforeLines="0" w:afterLines="0" w:line="240" w:lineRule="auto"/>
              <w:ind w:firstLine="0" w:firstLineChars="0"/>
              <w:rPr>
                <w:rFonts w:hint="default" w:ascii="Times New Roman" w:hAnsi="Times New Roman" w:eastAsia="宋体" w:cs="Times New Roman"/>
                <w:snapToGrid w:val="0"/>
                <w:spacing w:val="-6"/>
                <w:kern w:val="21"/>
                <w:sz w:val="18"/>
                <w:szCs w:val="18"/>
              </w:rPr>
            </w:pPr>
            <w:r>
              <w:rPr>
                <w:rFonts w:hint="default" w:ascii="Times New Roman" w:hAnsi="Times New Roman" w:eastAsia="宋体" w:cs="Times New Roman"/>
                <w:snapToGrid w:val="0"/>
                <w:spacing w:val="-6"/>
                <w:kern w:val="21"/>
                <w:sz w:val="18"/>
                <w:szCs w:val="18"/>
              </w:rPr>
              <w:t>现有工程</w:t>
            </w:r>
          </w:p>
          <w:p>
            <w:pPr>
              <w:pStyle w:val="118"/>
              <w:spacing w:beforeLines="0" w:afterLines="0" w:line="240" w:lineRule="auto"/>
              <w:ind w:firstLine="0" w:firstLineChars="0"/>
              <w:rPr>
                <w:rFonts w:hint="default" w:ascii="Times New Roman" w:hAnsi="Times New Roman" w:eastAsia="宋体" w:cs="Times New Roman"/>
                <w:snapToGrid w:val="0"/>
                <w:spacing w:val="-6"/>
                <w:kern w:val="21"/>
                <w:sz w:val="18"/>
                <w:szCs w:val="18"/>
              </w:rPr>
            </w:pPr>
            <w:r>
              <w:rPr>
                <w:rFonts w:hint="default" w:ascii="Times New Roman" w:hAnsi="Times New Roman" w:eastAsia="宋体" w:cs="Times New Roman"/>
                <w:snapToGrid w:val="0"/>
                <w:spacing w:val="-6"/>
                <w:kern w:val="21"/>
                <w:sz w:val="18"/>
                <w:szCs w:val="18"/>
              </w:rPr>
              <w:t>排放量（固体废物产生量）</w:t>
            </w:r>
            <w:r>
              <w:rPr>
                <w:rFonts w:hint="default" w:ascii="Times New Roman" w:hAnsi="Times New Roman" w:eastAsia="宋体" w:cs="Times New Roman"/>
                <w:snapToGrid w:val="0"/>
                <w:spacing w:val="-6"/>
                <w:kern w:val="21"/>
                <w:sz w:val="18"/>
                <w:szCs w:val="18"/>
              </w:rPr>
              <w:fldChar w:fldCharType="begin"/>
            </w:r>
            <w:r>
              <w:rPr>
                <w:rFonts w:hint="default" w:ascii="Times New Roman" w:hAnsi="Times New Roman" w:eastAsia="宋体" w:cs="Times New Roman"/>
                <w:snapToGrid w:val="0"/>
                <w:spacing w:val="-6"/>
                <w:kern w:val="21"/>
                <w:sz w:val="18"/>
                <w:szCs w:val="18"/>
              </w:rPr>
              <w:instrText xml:space="preserve"> = 1 \* GB3 \* MERGEFORMAT </w:instrText>
            </w:r>
            <w:r>
              <w:rPr>
                <w:rFonts w:hint="default" w:ascii="Times New Roman" w:hAnsi="Times New Roman" w:eastAsia="宋体" w:cs="Times New Roman"/>
                <w:snapToGrid w:val="0"/>
                <w:spacing w:val="-6"/>
                <w:kern w:val="21"/>
                <w:sz w:val="18"/>
                <w:szCs w:val="18"/>
              </w:rPr>
              <w:fldChar w:fldCharType="separate"/>
            </w:r>
            <w:r>
              <w:rPr>
                <w:rFonts w:hint="default" w:ascii="Times New Roman" w:hAnsi="Times New Roman" w:eastAsia="宋体" w:cs="Times New Roman"/>
                <w:kern w:val="2"/>
                <w:sz w:val="18"/>
                <w:szCs w:val="18"/>
              </w:rPr>
              <w:t>①</w:t>
            </w:r>
            <w:r>
              <w:rPr>
                <w:rFonts w:hint="default" w:ascii="Times New Roman" w:hAnsi="Times New Roman" w:eastAsia="宋体" w:cs="Times New Roman"/>
                <w:snapToGrid w:val="0"/>
                <w:spacing w:val="-6"/>
                <w:kern w:val="21"/>
                <w:sz w:val="18"/>
                <w:szCs w:val="18"/>
              </w:rPr>
              <w:fldChar w:fldCharType="end"/>
            </w:r>
          </w:p>
        </w:tc>
        <w:tc>
          <w:tcPr>
            <w:tcW w:w="1487" w:type="dxa"/>
            <w:tcMar>
              <w:left w:w="28" w:type="dxa"/>
              <w:right w:w="28" w:type="dxa"/>
            </w:tcMar>
            <w:vAlign w:val="center"/>
          </w:tcPr>
          <w:p>
            <w:pPr>
              <w:pStyle w:val="118"/>
              <w:spacing w:beforeLines="0" w:afterLines="0" w:line="240" w:lineRule="auto"/>
              <w:ind w:firstLine="0" w:firstLineChars="0"/>
              <w:rPr>
                <w:rFonts w:hint="default" w:ascii="Times New Roman" w:hAnsi="Times New Roman" w:eastAsia="宋体" w:cs="Times New Roman"/>
                <w:snapToGrid w:val="0"/>
                <w:spacing w:val="-6"/>
                <w:kern w:val="21"/>
                <w:sz w:val="18"/>
                <w:szCs w:val="18"/>
              </w:rPr>
            </w:pPr>
            <w:r>
              <w:rPr>
                <w:rFonts w:hint="default" w:ascii="Times New Roman" w:hAnsi="Times New Roman" w:eastAsia="宋体" w:cs="Times New Roman"/>
                <w:snapToGrid w:val="0"/>
                <w:spacing w:val="-6"/>
                <w:kern w:val="21"/>
                <w:sz w:val="18"/>
                <w:szCs w:val="18"/>
              </w:rPr>
              <w:t>现有工程</w:t>
            </w:r>
          </w:p>
          <w:p>
            <w:pPr>
              <w:pStyle w:val="118"/>
              <w:spacing w:beforeLines="0" w:afterLines="0" w:line="240" w:lineRule="auto"/>
              <w:ind w:firstLine="0" w:firstLineChars="0"/>
              <w:rPr>
                <w:rFonts w:hint="default" w:ascii="Times New Roman" w:hAnsi="Times New Roman" w:eastAsia="宋体" w:cs="Times New Roman"/>
                <w:snapToGrid w:val="0"/>
                <w:spacing w:val="-6"/>
                <w:kern w:val="21"/>
                <w:sz w:val="18"/>
                <w:szCs w:val="18"/>
              </w:rPr>
            </w:pPr>
            <w:r>
              <w:rPr>
                <w:rFonts w:hint="default" w:ascii="Times New Roman" w:hAnsi="Times New Roman" w:eastAsia="宋体" w:cs="Times New Roman"/>
                <w:snapToGrid w:val="0"/>
                <w:spacing w:val="-6"/>
                <w:kern w:val="21"/>
                <w:sz w:val="18"/>
                <w:szCs w:val="18"/>
              </w:rPr>
              <w:t>许可排放量</w:t>
            </w:r>
          </w:p>
          <w:p>
            <w:pPr>
              <w:pStyle w:val="118"/>
              <w:spacing w:beforeLines="0" w:afterLines="0" w:line="240" w:lineRule="auto"/>
              <w:ind w:firstLine="0" w:firstLineChars="0"/>
              <w:rPr>
                <w:rFonts w:hint="default" w:ascii="Times New Roman" w:hAnsi="Times New Roman" w:eastAsia="宋体" w:cs="Times New Roman"/>
                <w:snapToGrid w:val="0"/>
                <w:spacing w:val="-6"/>
                <w:kern w:val="21"/>
                <w:sz w:val="18"/>
                <w:szCs w:val="18"/>
              </w:rPr>
            </w:pPr>
            <w:r>
              <w:rPr>
                <w:rFonts w:hint="default" w:ascii="Times New Roman" w:hAnsi="Times New Roman" w:eastAsia="宋体" w:cs="Times New Roman"/>
                <w:snapToGrid w:val="0"/>
                <w:spacing w:val="-6"/>
                <w:kern w:val="21"/>
                <w:sz w:val="18"/>
                <w:szCs w:val="18"/>
              </w:rPr>
              <w:fldChar w:fldCharType="begin"/>
            </w:r>
            <w:r>
              <w:rPr>
                <w:rFonts w:hint="default" w:ascii="Times New Roman" w:hAnsi="Times New Roman" w:eastAsia="宋体" w:cs="Times New Roman"/>
                <w:snapToGrid w:val="0"/>
                <w:spacing w:val="-6"/>
                <w:kern w:val="21"/>
                <w:sz w:val="18"/>
                <w:szCs w:val="18"/>
              </w:rPr>
              <w:instrText xml:space="preserve"> = 2 \* GB3 \* MERGEFORMAT </w:instrText>
            </w:r>
            <w:r>
              <w:rPr>
                <w:rFonts w:hint="default" w:ascii="Times New Roman" w:hAnsi="Times New Roman" w:eastAsia="宋体" w:cs="Times New Roman"/>
                <w:snapToGrid w:val="0"/>
                <w:spacing w:val="-6"/>
                <w:kern w:val="21"/>
                <w:sz w:val="18"/>
                <w:szCs w:val="18"/>
              </w:rPr>
              <w:fldChar w:fldCharType="separate"/>
            </w:r>
            <w:r>
              <w:rPr>
                <w:rFonts w:hint="default" w:ascii="Times New Roman" w:hAnsi="Times New Roman" w:eastAsia="宋体" w:cs="Times New Roman"/>
                <w:snapToGrid w:val="0"/>
                <w:spacing w:val="-6"/>
                <w:kern w:val="21"/>
                <w:sz w:val="18"/>
                <w:szCs w:val="18"/>
              </w:rPr>
              <w:t>②</w:t>
            </w:r>
            <w:r>
              <w:rPr>
                <w:rFonts w:hint="default" w:ascii="Times New Roman" w:hAnsi="Times New Roman" w:eastAsia="宋体" w:cs="Times New Roman"/>
                <w:snapToGrid w:val="0"/>
                <w:spacing w:val="-6"/>
                <w:kern w:val="21"/>
                <w:sz w:val="18"/>
                <w:szCs w:val="18"/>
              </w:rPr>
              <w:fldChar w:fldCharType="end"/>
            </w:r>
          </w:p>
        </w:tc>
        <w:tc>
          <w:tcPr>
            <w:tcW w:w="1664" w:type="dxa"/>
            <w:tcMar>
              <w:left w:w="28" w:type="dxa"/>
              <w:right w:w="28" w:type="dxa"/>
            </w:tcMar>
            <w:vAlign w:val="center"/>
          </w:tcPr>
          <w:p>
            <w:pPr>
              <w:pStyle w:val="118"/>
              <w:spacing w:beforeLines="0" w:afterLines="0" w:line="240" w:lineRule="auto"/>
              <w:ind w:firstLine="0" w:firstLineChars="0"/>
              <w:rPr>
                <w:rFonts w:hint="default" w:ascii="Times New Roman" w:hAnsi="Times New Roman" w:eastAsia="宋体" w:cs="Times New Roman"/>
                <w:snapToGrid w:val="0"/>
                <w:spacing w:val="-6"/>
                <w:kern w:val="21"/>
                <w:sz w:val="18"/>
                <w:szCs w:val="18"/>
              </w:rPr>
            </w:pPr>
            <w:r>
              <w:rPr>
                <w:rFonts w:hint="default" w:ascii="Times New Roman" w:hAnsi="Times New Roman" w:eastAsia="宋体" w:cs="Times New Roman"/>
                <w:snapToGrid w:val="0"/>
                <w:spacing w:val="-6"/>
                <w:kern w:val="21"/>
                <w:sz w:val="18"/>
                <w:szCs w:val="18"/>
              </w:rPr>
              <w:t>在建工程排放量（固体废物产生量）</w:t>
            </w:r>
            <w:r>
              <w:rPr>
                <w:rFonts w:hint="default" w:ascii="Times New Roman" w:hAnsi="Times New Roman" w:eastAsia="宋体" w:cs="Times New Roman"/>
                <w:snapToGrid w:val="0"/>
                <w:spacing w:val="-6"/>
                <w:kern w:val="21"/>
                <w:sz w:val="18"/>
                <w:szCs w:val="18"/>
              </w:rPr>
              <w:fldChar w:fldCharType="begin"/>
            </w:r>
            <w:r>
              <w:rPr>
                <w:rFonts w:hint="default" w:ascii="Times New Roman" w:hAnsi="Times New Roman" w:eastAsia="宋体" w:cs="Times New Roman"/>
                <w:snapToGrid w:val="0"/>
                <w:spacing w:val="-6"/>
                <w:kern w:val="21"/>
                <w:sz w:val="18"/>
                <w:szCs w:val="18"/>
              </w:rPr>
              <w:instrText xml:space="preserve"> = 3 \* GB3 \* MERGEFORMAT </w:instrText>
            </w:r>
            <w:r>
              <w:rPr>
                <w:rFonts w:hint="default" w:ascii="Times New Roman" w:hAnsi="Times New Roman" w:eastAsia="宋体" w:cs="Times New Roman"/>
                <w:snapToGrid w:val="0"/>
                <w:spacing w:val="-6"/>
                <w:kern w:val="21"/>
                <w:sz w:val="18"/>
                <w:szCs w:val="18"/>
              </w:rPr>
              <w:fldChar w:fldCharType="separate"/>
            </w:r>
            <w:r>
              <w:rPr>
                <w:rFonts w:hint="default" w:ascii="Times New Roman" w:hAnsi="Times New Roman" w:eastAsia="宋体" w:cs="Times New Roman"/>
                <w:kern w:val="2"/>
                <w:sz w:val="18"/>
                <w:szCs w:val="18"/>
              </w:rPr>
              <w:t>③</w:t>
            </w:r>
            <w:r>
              <w:rPr>
                <w:rFonts w:hint="default" w:ascii="Times New Roman" w:hAnsi="Times New Roman" w:eastAsia="宋体" w:cs="Times New Roman"/>
                <w:snapToGrid w:val="0"/>
                <w:spacing w:val="-6"/>
                <w:kern w:val="21"/>
                <w:sz w:val="18"/>
                <w:szCs w:val="18"/>
              </w:rPr>
              <w:fldChar w:fldCharType="end"/>
            </w:r>
          </w:p>
        </w:tc>
        <w:tc>
          <w:tcPr>
            <w:tcW w:w="1748" w:type="dxa"/>
            <w:tcMar>
              <w:left w:w="28" w:type="dxa"/>
              <w:right w:w="28" w:type="dxa"/>
            </w:tcMar>
            <w:vAlign w:val="center"/>
          </w:tcPr>
          <w:p>
            <w:pPr>
              <w:pStyle w:val="118"/>
              <w:spacing w:beforeLines="0" w:afterLines="0" w:line="240" w:lineRule="auto"/>
              <w:ind w:firstLine="0" w:firstLineChars="0"/>
              <w:rPr>
                <w:rFonts w:hint="default" w:ascii="Times New Roman" w:hAnsi="Times New Roman" w:eastAsia="宋体" w:cs="Times New Roman"/>
                <w:snapToGrid w:val="0"/>
                <w:spacing w:val="-6"/>
                <w:kern w:val="21"/>
                <w:sz w:val="18"/>
                <w:szCs w:val="18"/>
              </w:rPr>
            </w:pPr>
            <w:r>
              <w:rPr>
                <w:rFonts w:hint="default" w:ascii="Times New Roman" w:hAnsi="Times New Roman" w:eastAsia="宋体" w:cs="Times New Roman"/>
                <w:snapToGrid w:val="0"/>
                <w:spacing w:val="-6"/>
                <w:kern w:val="21"/>
                <w:sz w:val="18"/>
                <w:szCs w:val="18"/>
              </w:rPr>
              <w:t>本项目</w:t>
            </w:r>
          </w:p>
          <w:p>
            <w:pPr>
              <w:pStyle w:val="118"/>
              <w:spacing w:beforeLines="0" w:afterLines="0" w:line="240" w:lineRule="auto"/>
              <w:ind w:firstLine="0" w:firstLineChars="0"/>
              <w:rPr>
                <w:rFonts w:hint="default" w:ascii="Times New Roman" w:hAnsi="Times New Roman" w:eastAsia="宋体" w:cs="Times New Roman"/>
                <w:snapToGrid w:val="0"/>
                <w:spacing w:val="-6"/>
                <w:kern w:val="21"/>
                <w:sz w:val="18"/>
                <w:szCs w:val="18"/>
              </w:rPr>
            </w:pPr>
            <w:r>
              <w:rPr>
                <w:rFonts w:hint="default" w:ascii="Times New Roman" w:hAnsi="Times New Roman" w:eastAsia="宋体" w:cs="Times New Roman"/>
                <w:snapToGrid w:val="0"/>
                <w:spacing w:val="-6"/>
                <w:kern w:val="21"/>
                <w:sz w:val="18"/>
                <w:szCs w:val="18"/>
              </w:rPr>
              <w:t>排放量（固体废物产生量）</w:t>
            </w:r>
            <w:r>
              <w:rPr>
                <w:rFonts w:hint="default" w:ascii="Times New Roman" w:hAnsi="Times New Roman" w:eastAsia="宋体" w:cs="Times New Roman"/>
                <w:snapToGrid w:val="0"/>
                <w:spacing w:val="-6"/>
                <w:kern w:val="21"/>
                <w:sz w:val="18"/>
                <w:szCs w:val="18"/>
              </w:rPr>
              <w:fldChar w:fldCharType="begin"/>
            </w:r>
            <w:r>
              <w:rPr>
                <w:rFonts w:hint="default" w:ascii="Times New Roman" w:hAnsi="Times New Roman" w:eastAsia="宋体" w:cs="Times New Roman"/>
                <w:snapToGrid w:val="0"/>
                <w:spacing w:val="-6"/>
                <w:kern w:val="21"/>
                <w:sz w:val="18"/>
                <w:szCs w:val="18"/>
              </w:rPr>
              <w:instrText xml:space="preserve"> = 4 \* GB3 \* MERGEFORMAT </w:instrText>
            </w:r>
            <w:r>
              <w:rPr>
                <w:rFonts w:hint="default" w:ascii="Times New Roman" w:hAnsi="Times New Roman" w:eastAsia="宋体" w:cs="Times New Roman"/>
                <w:snapToGrid w:val="0"/>
                <w:spacing w:val="-6"/>
                <w:kern w:val="21"/>
                <w:sz w:val="18"/>
                <w:szCs w:val="18"/>
              </w:rPr>
              <w:fldChar w:fldCharType="separate"/>
            </w:r>
            <w:r>
              <w:rPr>
                <w:rFonts w:hint="default" w:ascii="Times New Roman" w:hAnsi="Times New Roman" w:eastAsia="宋体" w:cs="Times New Roman"/>
                <w:kern w:val="2"/>
                <w:sz w:val="18"/>
                <w:szCs w:val="18"/>
              </w:rPr>
              <w:t>④</w:t>
            </w:r>
            <w:r>
              <w:rPr>
                <w:rFonts w:hint="default" w:ascii="Times New Roman" w:hAnsi="Times New Roman" w:eastAsia="宋体" w:cs="Times New Roman"/>
                <w:snapToGrid w:val="0"/>
                <w:spacing w:val="-6"/>
                <w:kern w:val="21"/>
                <w:sz w:val="18"/>
                <w:szCs w:val="18"/>
              </w:rPr>
              <w:fldChar w:fldCharType="end"/>
            </w:r>
          </w:p>
        </w:tc>
        <w:tc>
          <w:tcPr>
            <w:tcW w:w="1147" w:type="dxa"/>
            <w:tcMar>
              <w:left w:w="28" w:type="dxa"/>
              <w:right w:w="28" w:type="dxa"/>
            </w:tcMar>
            <w:vAlign w:val="center"/>
          </w:tcPr>
          <w:p>
            <w:pPr>
              <w:pStyle w:val="118"/>
              <w:spacing w:beforeLines="0" w:afterLines="0" w:line="240" w:lineRule="auto"/>
              <w:ind w:firstLine="0" w:firstLineChars="0"/>
              <w:rPr>
                <w:rFonts w:hint="default" w:ascii="Times New Roman" w:hAnsi="Times New Roman" w:eastAsia="宋体" w:cs="Times New Roman"/>
                <w:snapToGrid w:val="0"/>
                <w:spacing w:val="-16"/>
                <w:kern w:val="21"/>
                <w:sz w:val="18"/>
                <w:szCs w:val="18"/>
              </w:rPr>
            </w:pPr>
            <w:r>
              <w:rPr>
                <w:rFonts w:hint="default" w:ascii="Times New Roman" w:hAnsi="Times New Roman" w:eastAsia="宋体" w:cs="Times New Roman"/>
                <w:snapToGrid w:val="0"/>
                <w:spacing w:val="-16"/>
                <w:kern w:val="21"/>
                <w:sz w:val="18"/>
                <w:szCs w:val="18"/>
              </w:rPr>
              <w:t>以新带老削减量</w:t>
            </w:r>
          </w:p>
          <w:p>
            <w:pPr>
              <w:pStyle w:val="118"/>
              <w:spacing w:beforeLines="0" w:afterLines="0" w:line="240" w:lineRule="auto"/>
              <w:ind w:firstLine="0" w:firstLineChars="0"/>
              <w:rPr>
                <w:rFonts w:hint="default" w:ascii="Times New Roman" w:hAnsi="Times New Roman" w:eastAsia="宋体" w:cs="Times New Roman"/>
                <w:snapToGrid w:val="0"/>
                <w:spacing w:val="-16"/>
                <w:kern w:val="21"/>
                <w:sz w:val="18"/>
                <w:szCs w:val="18"/>
              </w:rPr>
            </w:pPr>
            <w:r>
              <w:rPr>
                <w:rFonts w:hint="default" w:ascii="Times New Roman" w:hAnsi="Times New Roman" w:eastAsia="宋体" w:cs="Times New Roman"/>
                <w:snapToGrid w:val="0"/>
                <w:spacing w:val="-16"/>
                <w:kern w:val="21"/>
                <w:sz w:val="18"/>
                <w:szCs w:val="18"/>
              </w:rPr>
              <w:t>（新建项目不填）</w:t>
            </w:r>
            <w:r>
              <w:rPr>
                <w:rFonts w:hint="default" w:ascii="Times New Roman" w:hAnsi="Times New Roman" w:eastAsia="宋体" w:cs="Times New Roman"/>
                <w:snapToGrid w:val="0"/>
                <w:spacing w:val="-16"/>
                <w:kern w:val="21"/>
                <w:sz w:val="18"/>
                <w:szCs w:val="18"/>
              </w:rPr>
              <w:fldChar w:fldCharType="begin"/>
            </w:r>
            <w:r>
              <w:rPr>
                <w:rFonts w:hint="default" w:ascii="Times New Roman" w:hAnsi="Times New Roman" w:eastAsia="宋体" w:cs="Times New Roman"/>
                <w:snapToGrid w:val="0"/>
                <w:spacing w:val="-16"/>
                <w:kern w:val="21"/>
                <w:sz w:val="18"/>
                <w:szCs w:val="18"/>
              </w:rPr>
              <w:instrText xml:space="preserve"> = 5 \* GB3 \* MERGEFORMAT </w:instrText>
            </w:r>
            <w:r>
              <w:rPr>
                <w:rFonts w:hint="default" w:ascii="Times New Roman" w:hAnsi="Times New Roman" w:eastAsia="宋体" w:cs="Times New Roman"/>
                <w:snapToGrid w:val="0"/>
                <w:spacing w:val="-16"/>
                <w:kern w:val="21"/>
                <w:sz w:val="18"/>
                <w:szCs w:val="18"/>
              </w:rPr>
              <w:fldChar w:fldCharType="separate"/>
            </w:r>
            <w:r>
              <w:rPr>
                <w:rFonts w:hint="default" w:ascii="Times New Roman" w:hAnsi="Times New Roman" w:eastAsia="宋体" w:cs="Times New Roman"/>
                <w:kern w:val="2"/>
                <w:sz w:val="18"/>
                <w:szCs w:val="18"/>
              </w:rPr>
              <w:t>⑤</w:t>
            </w:r>
            <w:r>
              <w:rPr>
                <w:rFonts w:hint="default" w:ascii="Times New Roman" w:hAnsi="Times New Roman" w:eastAsia="宋体" w:cs="Times New Roman"/>
                <w:snapToGrid w:val="0"/>
                <w:spacing w:val="-16"/>
                <w:kern w:val="21"/>
                <w:sz w:val="18"/>
                <w:szCs w:val="18"/>
              </w:rPr>
              <w:fldChar w:fldCharType="end"/>
            </w:r>
          </w:p>
        </w:tc>
        <w:tc>
          <w:tcPr>
            <w:tcW w:w="1322" w:type="dxa"/>
            <w:tcMar>
              <w:left w:w="28" w:type="dxa"/>
              <w:right w:w="28" w:type="dxa"/>
            </w:tcMar>
            <w:vAlign w:val="center"/>
          </w:tcPr>
          <w:p>
            <w:pPr>
              <w:pStyle w:val="118"/>
              <w:spacing w:beforeLines="0" w:afterLines="0" w:line="240" w:lineRule="auto"/>
              <w:ind w:firstLine="0" w:firstLineChars="0"/>
              <w:rPr>
                <w:rFonts w:hint="default" w:ascii="Times New Roman" w:hAnsi="Times New Roman" w:eastAsia="宋体" w:cs="Times New Roman"/>
                <w:snapToGrid w:val="0"/>
                <w:spacing w:val="-16"/>
                <w:kern w:val="21"/>
                <w:sz w:val="18"/>
                <w:szCs w:val="18"/>
              </w:rPr>
            </w:pPr>
            <w:r>
              <w:rPr>
                <w:rFonts w:hint="default" w:ascii="Times New Roman" w:hAnsi="Times New Roman" w:eastAsia="宋体" w:cs="Times New Roman"/>
                <w:snapToGrid w:val="0"/>
                <w:spacing w:val="-16"/>
                <w:kern w:val="21"/>
                <w:sz w:val="18"/>
                <w:szCs w:val="18"/>
              </w:rPr>
              <w:t>本项目建成后</w:t>
            </w:r>
          </w:p>
          <w:p>
            <w:pPr>
              <w:pStyle w:val="118"/>
              <w:spacing w:beforeLines="0" w:afterLines="0" w:line="240" w:lineRule="auto"/>
              <w:ind w:firstLine="0" w:firstLineChars="0"/>
              <w:rPr>
                <w:rFonts w:hint="default" w:ascii="Times New Roman" w:hAnsi="Times New Roman" w:eastAsia="宋体" w:cs="Times New Roman"/>
                <w:snapToGrid w:val="0"/>
                <w:spacing w:val="-16"/>
                <w:kern w:val="21"/>
                <w:sz w:val="18"/>
                <w:szCs w:val="18"/>
              </w:rPr>
            </w:pPr>
            <w:r>
              <w:rPr>
                <w:rFonts w:hint="default" w:ascii="Times New Roman" w:hAnsi="Times New Roman" w:eastAsia="宋体" w:cs="Times New Roman"/>
                <w:snapToGrid w:val="0"/>
                <w:spacing w:val="-16"/>
                <w:kern w:val="21"/>
                <w:sz w:val="18"/>
                <w:szCs w:val="18"/>
              </w:rPr>
              <w:t>全厂排放量（固体废物产生量）</w:t>
            </w:r>
            <w:r>
              <w:rPr>
                <w:rFonts w:hint="default" w:ascii="Times New Roman" w:hAnsi="Times New Roman" w:eastAsia="宋体" w:cs="Times New Roman"/>
                <w:snapToGrid w:val="0"/>
                <w:spacing w:val="-16"/>
                <w:kern w:val="21"/>
                <w:sz w:val="18"/>
                <w:szCs w:val="18"/>
              </w:rPr>
              <w:fldChar w:fldCharType="begin"/>
            </w:r>
            <w:r>
              <w:rPr>
                <w:rFonts w:hint="default" w:ascii="Times New Roman" w:hAnsi="Times New Roman" w:eastAsia="宋体" w:cs="Times New Roman"/>
                <w:snapToGrid w:val="0"/>
                <w:spacing w:val="-16"/>
                <w:kern w:val="21"/>
                <w:sz w:val="18"/>
                <w:szCs w:val="18"/>
              </w:rPr>
              <w:instrText xml:space="preserve"> = 6 \* GB3 \* MERGEFORMAT </w:instrText>
            </w:r>
            <w:r>
              <w:rPr>
                <w:rFonts w:hint="default" w:ascii="Times New Roman" w:hAnsi="Times New Roman" w:eastAsia="宋体" w:cs="Times New Roman"/>
                <w:snapToGrid w:val="0"/>
                <w:spacing w:val="-16"/>
                <w:kern w:val="21"/>
                <w:sz w:val="18"/>
                <w:szCs w:val="18"/>
              </w:rPr>
              <w:fldChar w:fldCharType="separate"/>
            </w:r>
            <w:r>
              <w:rPr>
                <w:rFonts w:hint="default" w:ascii="Times New Roman" w:hAnsi="Times New Roman" w:eastAsia="宋体" w:cs="Times New Roman"/>
                <w:kern w:val="2"/>
                <w:sz w:val="18"/>
                <w:szCs w:val="18"/>
              </w:rPr>
              <w:t>⑥</w:t>
            </w:r>
            <w:r>
              <w:rPr>
                <w:rFonts w:hint="default" w:ascii="Times New Roman" w:hAnsi="Times New Roman" w:eastAsia="宋体" w:cs="Times New Roman"/>
                <w:snapToGrid w:val="0"/>
                <w:spacing w:val="-16"/>
                <w:kern w:val="21"/>
                <w:sz w:val="18"/>
                <w:szCs w:val="18"/>
              </w:rPr>
              <w:fldChar w:fldCharType="end"/>
            </w:r>
          </w:p>
        </w:tc>
        <w:tc>
          <w:tcPr>
            <w:tcW w:w="1646" w:type="dxa"/>
            <w:tcMar>
              <w:left w:w="28" w:type="dxa"/>
              <w:right w:w="28" w:type="dxa"/>
            </w:tcMar>
            <w:vAlign w:val="center"/>
          </w:tcPr>
          <w:p>
            <w:pPr>
              <w:pStyle w:val="118"/>
              <w:spacing w:beforeLines="0" w:afterLines="0" w:line="240" w:lineRule="auto"/>
              <w:ind w:firstLine="0" w:firstLineChars="0"/>
              <w:rPr>
                <w:rFonts w:hint="default" w:ascii="Times New Roman" w:hAnsi="Times New Roman" w:eastAsia="宋体" w:cs="Times New Roman"/>
                <w:snapToGrid w:val="0"/>
                <w:spacing w:val="-6"/>
                <w:kern w:val="21"/>
                <w:sz w:val="18"/>
                <w:szCs w:val="18"/>
              </w:rPr>
            </w:pPr>
            <w:r>
              <w:rPr>
                <w:rFonts w:hint="default" w:ascii="Times New Roman" w:hAnsi="Times New Roman" w:eastAsia="宋体" w:cs="Times New Roman"/>
                <w:snapToGrid w:val="0"/>
                <w:spacing w:val="-6"/>
                <w:kern w:val="21"/>
                <w:sz w:val="18"/>
                <w:szCs w:val="18"/>
              </w:rPr>
              <w:t>变化量</w:t>
            </w:r>
          </w:p>
          <w:p>
            <w:pPr>
              <w:pStyle w:val="118"/>
              <w:spacing w:beforeLines="0" w:afterLines="0" w:line="240" w:lineRule="auto"/>
              <w:ind w:firstLine="0" w:firstLineChars="0"/>
              <w:rPr>
                <w:rFonts w:hint="default" w:ascii="Times New Roman" w:hAnsi="Times New Roman" w:eastAsia="宋体" w:cs="Times New Roman"/>
                <w:snapToGrid w:val="0"/>
                <w:spacing w:val="-6"/>
                <w:kern w:val="21"/>
                <w:sz w:val="18"/>
                <w:szCs w:val="18"/>
              </w:rPr>
            </w:pPr>
            <w:r>
              <w:rPr>
                <w:rFonts w:hint="default" w:ascii="Times New Roman" w:hAnsi="Times New Roman" w:eastAsia="宋体" w:cs="Times New Roman"/>
                <w:snapToGrid w:val="0"/>
                <w:spacing w:val="-6"/>
                <w:kern w:val="21"/>
                <w:sz w:val="18"/>
                <w:szCs w:val="18"/>
              </w:rPr>
              <w:fldChar w:fldCharType="begin"/>
            </w:r>
            <w:r>
              <w:rPr>
                <w:rFonts w:hint="default" w:ascii="Times New Roman" w:hAnsi="Times New Roman" w:eastAsia="宋体" w:cs="Times New Roman"/>
                <w:snapToGrid w:val="0"/>
                <w:spacing w:val="-6"/>
                <w:kern w:val="21"/>
                <w:sz w:val="18"/>
                <w:szCs w:val="18"/>
              </w:rPr>
              <w:instrText xml:space="preserve"> = 7 \* GB3 \* MERGEFORMAT </w:instrText>
            </w:r>
            <w:r>
              <w:rPr>
                <w:rFonts w:hint="default" w:ascii="Times New Roman" w:hAnsi="Times New Roman" w:eastAsia="宋体" w:cs="Times New Roman"/>
                <w:snapToGrid w:val="0"/>
                <w:spacing w:val="-6"/>
                <w:kern w:val="21"/>
                <w:sz w:val="18"/>
                <w:szCs w:val="18"/>
              </w:rPr>
              <w:fldChar w:fldCharType="separate"/>
            </w:r>
            <w:r>
              <w:rPr>
                <w:rFonts w:hint="default" w:ascii="Times New Roman" w:hAnsi="Times New Roman" w:eastAsia="宋体" w:cs="Times New Roman"/>
                <w:kern w:val="2"/>
                <w:sz w:val="18"/>
                <w:szCs w:val="18"/>
              </w:rPr>
              <w:t>⑦</w:t>
            </w:r>
            <w:r>
              <w:rPr>
                <w:rFonts w:hint="default" w:ascii="Times New Roman" w:hAnsi="Times New Roman" w:eastAsia="宋体" w:cs="Times New Roman"/>
                <w:snapToGrid w:val="0"/>
                <w:spacing w:val="-6"/>
                <w:kern w:val="21"/>
                <w:sz w:val="18"/>
                <w:szCs w:val="18"/>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491" w:type="dxa"/>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r>
              <w:rPr>
                <w:rFonts w:hint="default" w:ascii="Times New Roman" w:hAnsi="Times New Roman" w:eastAsia="宋体" w:cs="Times New Roman"/>
                <w:snapToGrid w:val="0"/>
                <w:kern w:val="21"/>
                <w:sz w:val="18"/>
                <w:szCs w:val="18"/>
                <w:lang w:val="en-US" w:eastAsia="zh-CN"/>
              </w:rPr>
              <w:t>废气</w:t>
            </w:r>
          </w:p>
        </w:tc>
        <w:tc>
          <w:tcPr>
            <w:tcW w:w="1640" w:type="dxa"/>
            <w:gridSpan w:val="2"/>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臭气浓度</w:t>
            </w:r>
          </w:p>
        </w:tc>
        <w:tc>
          <w:tcPr>
            <w:tcW w:w="2173"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w:t>
            </w:r>
          </w:p>
        </w:tc>
        <w:tc>
          <w:tcPr>
            <w:tcW w:w="1487"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w:t>
            </w:r>
          </w:p>
        </w:tc>
        <w:tc>
          <w:tcPr>
            <w:tcW w:w="1664"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w:t>
            </w:r>
          </w:p>
        </w:tc>
        <w:tc>
          <w:tcPr>
            <w:tcW w:w="1748"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w:t>
            </w:r>
          </w:p>
        </w:tc>
        <w:tc>
          <w:tcPr>
            <w:tcW w:w="1147"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w:t>
            </w:r>
          </w:p>
        </w:tc>
        <w:tc>
          <w:tcPr>
            <w:tcW w:w="1322" w:type="dxa"/>
            <w:vAlign w:val="center"/>
          </w:tcPr>
          <w:p>
            <w:pPr>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auto"/>
                <w:sz w:val="18"/>
                <w:szCs w:val="18"/>
                <w:lang w:val="en-US" w:eastAsia="zh-CN"/>
              </w:rPr>
              <w:t>/</w:t>
            </w:r>
          </w:p>
        </w:tc>
        <w:tc>
          <w:tcPr>
            <w:tcW w:w="1646" w:type="dxa"/>
            <w:vAlign w:val="center"/>
          </w:tcPr>
          <w:p>
            <w:pPr>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auto"/>
                <w:sz w:val="18"/>
                <w:szCs w:val="18"/>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491" w:type="dxa"/>
            <w:vMerge w:val="restart"/>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lang w:val="en-US" w:eastAsia="zh-CN"/>
              </w:rPr>
            </w:pPr>
            <w:r>
              <w:rPr>
                <w:rFonts w:hint="default" w:ascii="Times New Roman" w:hAnsi="Times New Roman" w:eastAsia="宋体" w:cs="Times New Roman"/>
                <w:snapToGrid w:val="0"/>
                <w:kern w:val="21"/>
                <w:sz w:val="18"/>
                <w:szCs w:val="18"/>
                <w:lang w:val="en-US" w:eastAsia="zh-CN"/>
              </w:rPr>
              <w:t>废水</w:t>
            </w:r>
          </w:p>
        </w:tc>
        <w:tc>
          <w:tcPr>
            <w:tcW w:w="820" w:type="dxa"/>
            <w:vMerge w:val="restar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医疗废水</w:t>
            </w: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废水量</w:t>
            </w:r>
          </w:p>
        </w:tc>
        <w:tc>
          <w:tcPr>
            <w:tcW w:w="2173"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63.4</w:t>
            </w:r>
          </w:p>
        </w:tc>
        <w:tc>
          <w:tcPr>
            <w:tcW w:w="1147"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63.4</w:t>
            </w:r>
          </w:p>
        </w:tc>
        <w:tc>
          <w:tcPr>
            <w:tcW w:w="1646"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+63.4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lang w:val="en-US" w:eastAsia="zh-CN"/>
              </w:rPr>
            </w:pPr>
          </w:p>
        </w:tc>
        <w:tc>
          <w:tcPr>
            <w:tcW w:w="820" w:type="dxa"/>
            <w:vMerge w:val="continue"/>
            <w:vAlign w:val="center"/>
          </w:tcPr>
          <w:p>
            <w:pPr>
              <w:jc w:val="center"/>
              <w:rPr>
                <w:rFonts w:hint="default" w:ascii="Times New Roman" w:hAnsi="Times New Roman" w:eastAsia="宋体" w:cs="Times New Roman"/>
                <w:sz w:val="18"/>
                <w:szCs w:val="18"/>
                <w:lang w:val="en-US" w:eastAsia="zh-CN"/>
              </w:rPr>
            </w:pP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COD</w:t>
            </w:r>
          </w:p>
        </w:tc>
        <w:tc>
          <w:tcPr>
            <w:tcW w:w="2173"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0.01585</w:t>
            </w:r>
          </w:p>
        </w:tc>
        <w:tc>
          <w:tcPr>
            <w:tcW w:w="1147" w:type="dxa"/>
            <w:vAlign w:val="center"/>
          </w:tcPr>
          <w:p>
            <w:pPr>
              <w:jc w:val="center"/>
              <w:rPr>
                <w:rFonts w:hint="default" w:ascii="Times New Roman" w:hAnsi="Times New Roman" w:eastAsia="宋体" w:cs="Times New Roman"/>
                <w:snapToGrid w:val="0"/>
                <w:color w:val="FF0000"/>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0.01585</w:t>
            </w:r>
          </w:p>
        </w:tc>
        <w:tc>
          <w:tcPr>
            <w:tcW w:w="1646"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+0.01585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continue"/>
            <w:vAlign w:val="center"/>
          </w:tcPr>
          <w:p>
            <w:pPr>
              <w:jc w:val="center"/>
              <w:rPr>
                <w:rFonts w:hint="default" w:ascii="Times New Roman" w:hAnsi="Times New Roman" w:eastAsia="宋体" w:cs="Times New Roman"/>
                <w:sz w:val="18"/>
                <w:szCs w:val="18"/>
              </w:rPr>
            </w:pP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SS</w:t>
            </w:r>
          </w:p>
        </w:tc>
        <w:tc>
          <w:tcPr>
            <w:tcW w:w="2173"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0.003804</w:t>
            </w:r>
          </w:p>
        </w:tc>
        <w:tc>
          <w:tcPr>
            <w:tcW w:w="1147" w:type="dxa"/>
            <w:vAlign w:val="center"/>
          </w:tcPr>
          <w:p>
            <w:pPr>
              <w:jc w:val="center"/>
              <w:rPr>
                <w:rFonts w:hint="default" w:ascii="Times New Roman" w:hAnsi="Times New Roman" w:eastAsia="宋体" w:cs="Times New Roman"/>
                <w:snapToGrid w:val="0"/>
                <w:color w:val="FF0000"/>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0.003804</w:t>
            </w:r>
          </w:p>
        </w:tc>
        <w:tc>
          <w:tcPr>
            <w:tcW w:w="1646"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+0.003804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continue"/>
            <w:vAlign w:val="center"/>
          </w:tcPr>
          <w:p>
            <w:pPr>
              <w:jc w:val="center"/>
              <w:rPr>
                <w:rFonts w:hint="default" w:ascii="Times New Roman" w:hAnsi="Times New Roman" w:eastAsia="宋体" w:cs="Times New Roman"/>
                <w:sz w:val="18"/>
                <w:szCs w:val="18"/>
              </w:rPr>
            </w:pP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粪大肠菌群</w:t>
            </w:r>
          </w:p>
        </w:tc>
        <w:tc>
          <w:tcPr>
            <w:tcW w:w="2173"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sz w:val="18"/>
                <w:szCs w:val="18"/>
                <w:vertAlign w:val="baseline"/>
                <w:lang w:val="en-US" w:eastAsia="zh-CN"/>
              </w:rPr>
            </w:pPr>
            <w:r>
              <w:rPr>
                <w:rFonts w:hint="default" w:ascii="Times New Roman" w:hAnsi="Times New Roman" w:eastAsia="宋体" w:cs="Times New Roman"/>
                <w:color w:val="auto"/>
                <w:sz w:val="18"/>
                <w:szCs w:val="18"/>
                <w:lang w:val="en-US" w:eastAsia="zh-CN"/>
              </w:rPr>
              <w:t>3.17</w:t>
            </w:r>
            <w:r>
              <w:rPr>
                <w:rFonts w:hint="default" w:ascii="Times New Roman" w:hAnsi="Times New Roman" w:eastAsia="宋体" w:cs="Times New Roman"/>
                <w:color w:val="auto"/>
                <w:sz w:val="18"/>
                <w:szCs w:val="18"/>
                <w:lang w:val="en-US" w:eastAsia="en-US"/>
              </w:rPr>
              <w:t>×10</w:t>
            </w:r>
            <w:r>
              <w:rPr>
                <w:rFonts w:hint="default" w:ascii="Times New Roman" w:hAnsi="Times New Roman" w:eastAsia="宋体" w:cs="Times New Roman"/>
                <w:color w:val="auto"/>
                <w:sz w:val="18"/>
                <w:szCs w:val="18"/>
                <w:vertAlign w:val="superscript"/>
                <w:lang w:val="en-US" w:eastAsia="zh-CN"/>
              </w:rPr>
              <w:t>8</w:t>
            </w:r>
            <w:r>
              <w:rPr>
                <w:rFonts w:hint="default" w:ascii="Times New Roman" w:hAnsi="Times New Roman" w:eastAsia="宋体" w:cs="Times New Roman"/>
                <w:color w:val="auto"/>
                <w:sz w:val="18"/>
                <w:szCs w:val="18"/>
                <w:vertAlign w:val="baseline"/>
                <w:lang w:val="en-US" w:eastAsia="zh-CN"/>
              </w:rPr>
              <w:t>个/a</w:t>
            </w:r>
          </w:p>
        </w:tc>
        <w:tc>
          <w:tcPr>
            <w:tcW w:w="1147" w:type="dxa"/>
            <w:vAlign w:val="center"/>
          </w:tcPr>
          <w:p>
            <w:pPr>
              <w:jc w:val="center"/>
              <w:rPr>
                <w:rFonts w:hint="default" w:ascii="Times New Roman" w:hAnsi="Times New Roman" w:eastAsia="宋体" w:cs="Times New Roman"/>
                <w:snapToGrid w:val="0"/>
                <w:color w:val="FF0000"/>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vertAlign w:val="baseline"/>
                <w:lang w:val="en-US" w:eastAsia="zh-CN" w:bidi="ar-SA"/>
              </w:rPr>
            </w:pPr>
            <w:r>
              <w:rPr>
                <w:rFonts w:hint="default" w:ascii="Times New Roman" w:hAnsi="Times New Roman" w:eastAsia="宋体" w:cs="Times New Roman"/>
                <w:color w:val="auto"/>
                <w:sz w:val="18"/>
                <w:szCs w:val="18"/>
                <w:lang w:val="en-US" w:eastAsia="zh-CN"/>
              </w:rPr>
              <w:t>3.17×10</w:t>
            </w:r>
            <w:r>
              <w:rPr>
                <w:rFonts w:hint="default" w:ascii="Times New Roman" w:hAnsi="Times New Roman" w:eastAsia="宋体" w:cs="Times New Roman"/>
                <w:color w:val="auto"/>
                <w:sz w:val="18"/>
                <w:szCs w:val="18"/>
                <w:vertAlign w:val="superscript"/>
                <w:lang w:val="en-US" w:eastAsia="zh-CN"/>
              </w:rPr>
              <w:t>8</w:t>
            </w:r>
            <w:r>
              <w:rPr>
                <w:rFonts w:hint="default" w:ascii="Times New Roman" w:hAnsi="Times New Roman" w:eastAsia="宋体" w:cs="Times New Roman"/>
                <w:color w:val="auto"/>
                <w:sz w:val="18"/>
                <w:szCs w:val="18"/>
                <w:vertAlign w:val="baseline"/>
                <w:lang w:val="en-US" w:eastAsia="zh-CN"/>
              </w:rPr>
              <w:t>个/a</w:t>
            </w:r>
          </w:p>
        </w:tc>
        <w:tc>
          <w:tcPr>
            <w:tcW w:w="1646" w:type="dxa"/>
            <w:vAlign w:val="center"/>
          </w:tcPr>
          <w:p>
            <w:pPr>
              <w:jc w:val="center"/>
              <w:rPr>
                <w:rFonts w:hint="default" w:ascii="Times New Roman" w:hAnsi="Times New Roman" w:eastAsia="宋体" w:cs="Times New Roman"/>
                <w:color w:val="auto"/>
                <w:kern w:val="2"/>
                <w:sz w:val="18"/>
                <w:szCs w:val="18"/>
                <w:vertAlign w:val="baseline"/>
                <w:lang w:val="en-US" w:eastAsia="zh-CN" w:bidi="ar-SA"/>
              </w:rPr>
            </w:pPr>
            <w:r>
              <w:rPr>
                <w:rFonts w:hint="default" w:ascii="Times New Roman" w:hAnsi="Times New Roman" w:eastAsia="宋体" w:cs="Times New Roman"/>
                <w:color w:val="auto"/>
                <w:sz w:val="18"/>
                <w:szCs w:val="18"/>
                <w:lang w:val="en-US" w:eastAsia="zh-CN"/>
              </w:rPr>
              <w:t>+3.17×10</w:t>
            </w:r>
            <w:r>
              <w:rPr>
                <w:rFonts w:hint="default" w:ascii="Times New Roman" w:hAnsi="Times New Roman" w:eastAsia="宋体" w:cs="Times New Roman"/>
                <w:color w:val="auto"/>
                <w:sz w:val="18"/>
                <w:szCs w:val="18"/>
                <w:vertAlign w:val="superscript"/>
                <w:lang w:val="en-US" w:eastAsia="zh-CN"/>
              </w:rPr>
              <w:t>8</w:t>
            </w:r>
            <w:r>
              <w:rPr>
                <w:rFonts w:hint="default" w:ascii="Times New Roman" w:hAnsi="Times New Roman" w:eastAsia="宋体" w:cs="Times New Roman"/>
                <w:color w:val="auto"/>
                <w:sz w:val="18"/>
                <w:szCs w:val="18"/>
                <w:vertAlign w:val="baseline"/>
                <w:lang w:val="en-US" w:eastAsia="zh-CN"/>
              </w:rPr>
              <w:t>个/a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continue"/>
            <w:vAlign w:val="center"/>
          </w:tcPr>
          <w:p>
            <w:pPr>
              <w:jc w:val="center"/>
              <w:rPr>
                <w:rFonts w:hint="default" w:ascii="Times New Roman" w:hAnsi="Times New Roman" w:eastAsia="宋体" w:cs="Times New Roman"/>
                <w:sz w:val="18"/>
                <w:szCs w:val="18"/>
              </w:rPr>
            </w:pP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LAS</w:t>
            </w:r>
          </w:p>
        </w:tc>
        <w:tc>
          <w:tcPr>
            <w:tcW w:w="2173"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0.000634</w:t>
            </w:r>
          </w:p>
        </w:tc>
        <w:tc>
          <w:tcPr>
            <w:tcW w:w="1147" w:type="dxa"/>
            <w:vAlign w:val="center"/>
          </w:tcPr>
          <w:p>
            <w:pPr>
              <w:jc w:val="center"/>
              <w:rPr>
                <w:rFonts w:hint="default" w:ascii="Times New Roman" w:hAnsi="Times New Roman" w:eastAsia="宋体" w:cs="Times New Roman"/>
                <w:snapToGrid w:val="0"/>
                <w:color w:val="FF0000"/>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0.000634</w:t>
            </w:r>
          </w:p>
        </w:tc>
        <w:tc>
          <w:tcPr>
            <w:tcW w:w="1646"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+0.000634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continue"/>
            <w:vAlign w:val="center"/>
          </w:tcPr>
          <w:p>
            <w:pPr>
              <w:jc w:val="center"/>
              <w:rPr>
                <w:rFonts w:hint="default" w:ascii="Times New Roman" w:hAnsi="Times New Roman" w:eastAsia="宋体" w:cs="Times New Roman"/>
                <w:sz w:val="18"/>
                <w:szCs w:val="18"/>
              </w:rPr>
            </w:pP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en-US"/>
              </w:rPr>
              <w:t>总余氯</w:t>
            </w:r>
          </w:p>
        </w:tc>
        <w:tc>
          <w:tcPr>
            <w:tcW w:w="2173"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0.000317</w:t>
            </w:r>
          </w:p>
        </w:tc>
        <w:tc>
          <w:tcPr>
            <w:tcW w:w="1147" w:type="dxa"/>
            <w:vAlign w:val="center"/>
          </w:tcPr>
          <w:p>
            <w:pPr>
              <w:jc w:val="center"/>
              <w:rPr>
                <w:rFonts w:hint="default" w:ascii="Times New Roman" w:hAnsi="Times New Roman" w:eastAsia="宋体" w:cs="Times New Roman"/>
                <w:snapToGrid w:val="0"/>
                <w:color w:val="FF0000"/>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0.000317</w:t>
            </w:r>
          </w:p>
        </w:tc>
        <w:tc>
          <w:tcPr>
            <w:tcW w:w="1646"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+0.000317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restart"/>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生活污水</w:t>
            </w: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废水量</w:t>
            </w:r>
          </w:p>
        </w:tc>
        <w:tc>
          <w:tcPr>
            <w:tcW w:w="2173"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594</w:t>
            </w:r>
          </w:p>
        </w:tc>
        <w:tc>
          <w:tcPr>
            <w:tcW w:w="1147"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594</w:t>
            </w:r>
          </w:p>
        </w:tc>
        <w:tc>
          <w:tcPr>
            <w:tcW w:w="1646"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+594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continue"/>
            <w:vAlign w:val="center"/>
          </w:tcPr>
          <w:p>
            <w:pPr>
              <w:jc w:val="center"/>
              <w:rPr>
                <w:rFonts w:hint="default" w:ascii="Times New Roman" w:hAnsi="Times New Roman" w:eastAsia="宋体" w:cs="Times New Roman"/>
                <w:sz w:val="18"/>
                <w:szCs w:val="18"/>
                <w:lang w:val="en-US" w:eastAsia="zh-CN"/>
              </w:rPr>
            </w:pP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COD</w:t>
            </w:r>
          </w:p>
        </w:tc>
        <w:tc>
          <w:tcPr>
            <w:tcW w:w="2173"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0.20196</w:t>
            </w:r>
          </w:p>
        </w:tc>
        <w:tc>
          <w:tcPr>
            <w:tcW w:w="1147" w:type="dxa"/>
            <w:vAlign w:val="center"/>
          </w:tcPr>
          <w:p>
            <w:pPr>
              <w:jc w:val="center"/>
              <w:rPr>
                <w:rFonts w:hint="default" w:ascii="Times New Roman" w:hAnsi="Times New Roman" w:eastAsia="宋体" w:cs="Times New Roman"/>
                <w:snapToGrid w:val="0"/>
                <w:color w:val="FF0000"/>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0.20196</w:t>
            </w:r>
          </w:p>
        </w:tc>
        <w:tc>
          <w:tcPr>
            <w:tcW w:w="1646"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+0.20196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continue"/>
            <w:vAlign w:val="center"/>
          </w:tcPr>
          <w:p>
            <w:pPr>
              <w:jc w:val="center"/>
              <w:rPr>
                <w:rFonts w:hint="default" w:ascii="Times New Roman" w:hAnsi="Times New Roman" w:eastAsia="宋体" w:cs="Times New Roman"/>
                <w:sz w:val="18"/>
                <w:szCs w:val="18"/>
              </w:rPr>
            </w:pP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SS</w:t>
            </w:r>
          </w:p>
        </w:tc>
        <w:tc>
          <w:tcPr>
            <w:tcW w:w="2173"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snapToGrid w:val="0"/>
                <w:color w:val="auto"/>
                <w:kern w:val="21"/>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0.08316</w:t>
            </w:r>
          </w:p>
        </w:tc>
        <w:tc>
          <w:tcPr>
            <w:tcW w:w="1147" w:type="dxa"/>
            <w:vAlign w:val="center"/>
          </w:tcPr>
          <w:p>
            <w:pPr>
              <w:jc w:val="center"/>
              <w:rPr>
                <w:rFonts w:hint="default" w:ascii="Times New Roman" w:hAnsi="Times New Roman" w:eastAsia="宋体" w:cs="Times New Roman"/>
                <w:snapToGrid w:val="0"/>
                <w:color w:val="FF0000"/>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0.08316</w:t>
            </w:r>
          </w:p>
        </w:tc>
        <w:tc>
          <w:tcPr>
            <w:tcW w:w="1646"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+0.08316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continue"/>
            <w:vAlign w:val="center"/>
          </w:tcPr>
          <w:p>
            <w:pPr>
              <w:jc w:val="center"/>
              <w:rPr>
                <w:rFonts w:hint="default" w:ascii="Times New Roman" w:hAnsi="Times New Roman" w:eastAsia="宋体" w:cs="Times New Roman"/>
                <w:sz w:val="18"/>
                <w:szCs w:val="18"/>
              </w:rPr>
            </w:pP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氨氮</w:t>
            </w:r>
          </w:p>
        </w:tc>
        <w:tc>
          <w:tcPr>
            <w:tcW w:w="2173"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0.01485</w:t>
            </w:r>
          </w:p>
        </w:tc>
        <w:tc>
          <w:tcPr>
            <w:tcW w:w="1147" w:type="dxa"/>
            <w:vAlign w:val="center"/>
          </w:tcPr>
          <w:p>
            <w:pPr>
              <w:jc w:val="center"/>
              <w:rPr>
                <w:rFonts w:hint="default" w:ascii="Times New Roman" w:hAnsi="Times New Roman" w:eastAsia="宋体" w:cs="Times New Roman"/>
                <w:snapToGrid w:val="0"/>
                <w:color w:val="FF0000"/>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0.01485</w:t>
            </w:r>
          </w:p>
        </w:tc>
        <w:tc>
          <w:tcPr>
            <w:tcW w:w="1646"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+0.01485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continue"/>
            <w:vAlign w:val="center"/>
          </w:tcPr>
          <w:p>
            <w:pPr>
              <w:jc w:val="center"/>
              <w:rPr>
                <w:rFonts w:hint="default" w:ascii="Times New Roman" w:hAnsi="Times New Roman" w:eastAsia="宋体" w:cs="Times New Roman"/>
                <w:sz w:val="18"/>
                <w:szCs w:val="18"/>
              </w:rPr>
            </w:pP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总磷</w:t>
            </w:r>
          </w:p>
        </w:tc>
        <w:tc>
          <w:tcPr>
            <w:tcW w:w="2173"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0.002376</w:t>
            </w:r>
          </w:p>
        </w:tc>
        <w:tc>
          <w:tcPr>
            <w:tcW w:w="1147" w:type="dxa"/>
            <w:vAlign w:val="center"/>
          </w:tcPr>
          <w:p>
            <w:pPr>
              <w:jc w:val="center"/>
              <w:rPr>
                <w:rFonts w:hint="default" w:ascii="Times New Roman" w:hAnsi="Times New Roman" w:eastAsia="宋体" w:cs="Times New Roman"/>
                <w:snapToGrid w:val="0"/>
                <w:color w:val="FF0000"/>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0.002376</w:t>
            </w:r>
          </w:p>
        </w:tc>
        <w:tc>
          <w:tcPr>
            <w:tcW w:w="1646"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+0.002376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continue"/>
            <w:vAlign w:val="center"/>
          </w:tcPr>
          <w:p>
            <w:pPr>
              <w:jc w:val="center"/>
              <w:rPr>
                <w:rFonts w:hint="default" w:ascii="Times New Roman" w:hAnsi="Times New Roman" w:eastAsia="宋体" w:cs="Times New Roman"/>
                <w:sz w:val="18"/>
                <w:szCs w:val="18"/>
              </w:rPr>
            </w:pP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总氮</w:t>
            </w:r>
          </w:p>
        </w:tc>
        <w:tc>
          <w:tcPr>
            <w:tcW w:w="2173"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0.02376</w:t>
            </w:r>
          </w:p>
        </w:tc>
        <w:tc>
          <w:tcPr>
            <w:tcW w:w="1147" w:type="dxa"/>
            <w:vAlign w:val="center"/>
          </w:tcPr>
          <w:p>
            <w:pPr>
              <w:jc w:val="center"/>
              <w:rPr>
                <w:rFonts w:hint="default" w:ascii="Times New Roman" w:hAnsi="Times New Roman" w:eastAsia="宋体" w:cs="Times New Roman"/>
                <w:snapToGrid w:val="0"/>
                <w:color w:val="FF0000"/>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0.02376</w:t>
            </w:r>
          </w:p>
        </w:tc>
        <w:tc>
          <w:tcPr>
            <w:tcW w:w="1646"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+0.02376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lang w:val="en-US" w:eastAsia="zh-CN"/>
              </w:rPr>
              <w:t>洗浴污水</w:t>
            </w: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废水量</w:t>
            </w:r>
          </w:p>
        </w:tc>
        <w:tc>
          <w:tcPr>
            <w:tcW w:w="2173"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140</w:t>
            </w:r>
          </w:p>
        </w:tc>
        <w:tc>
          <w:tcPr>
            <w:tcW w:w="1147"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140</w:t>
            </w:r>
          </w:p>
        </w:tc>
        <w:tc>
          <w:tcPr>
            <w:tcW w:w="1646"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+140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continue"/>
            <w:vAlign w:val="center"/>
          </w:tcPr>
          <w:p>
            <w:pPr>
              <w:jc w:val="center"/>
              <w:rPr>
                <w:rFonts w:hint="default" w:ascii="Times New Roman" w:hAnsi="Times New Roman" w:eastAsia="宋体" w:cs="Times New Roman"/>
                <w:sz w:val="18"/>
                <w:szCs w:val="18"/>
              </w:rPr>
            </w:pP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COD</w:t>
            </w:r>
          </w:p>
        </w:tc>
        <w:tc>
          <w:tcPr>
            <w:tcW w:w="2173"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0.0476</w:t>
            </w:r>
          </w:p>
        </w:tc>
        <w:tc>
          <w:tcPr>
            <w:tcW w:w="1147" w:type="dxa"/>
            <w:vAlign w:val="center"/>
          </w:tcPr>
          <w:p>
            <w:pPr>
              <w:jc w:val="center"/>
              <w:rPr>
                <w:rFonts w:hint="default" w:ascii="Times New Roman" w:hAnsi="Times New Roman" w:eastAsia="宋体" w:cs="Times New Roman"/>
                <w:snapToGrid w:val="0"/>
                <w:color w:val="FF0000"/>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0.0476</w:t>
            </w:r>
          </w:p>
        </w:tc>
        <w:tc>
          <w:tcPr>
            <w:tcW w:w="1646"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+0.0476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continue"/>
            <w:vAlign w:val="center"/>
          </w:tcPr>
          <w:p>
            <w:pPr>
              <w:jc w:val="center"/>
              <w:rPr>
                <w:rFonts w:hint="default" w:ascii="Times New Roman" w:hAnsi="Times New Roman" w:eastAsia="宋体" w:cs="Times New Roman"/>
                <w:sz w:val="18"/>
                <w:szCs w:val="18"/>
              </w:rPr>
            </w:pP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SS</w:t>
            </w:r>
          </w:p>
        </w:tc>
        <w:tc>
          <w:tcPr>
            <w:tcW w:w="2173"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0.0196</w:t>
            </w:r>
          </w:p>
        </w:tc>
        <w:tc>
          <w:tcPr>
            <w:tcW w:w="1147" w:type="dxa"/>
            <w:vAlign w:val="center"/>
          </w:tcPr>
          <w:p>
            <w:pPr>
              <w:jc w:val="center"/>
              <w:rPr>
                <w:rFonts w:hint="default" w:ascii="Times New Roman" w:hAnsi="Times New Roman" w:eastAsia="宋体" w:cs="Times New Roman"/>
                <w:snapToGrid w:val="0"/>
                <w:color w:val="FF0000"/>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0.0196</w:t>
            </w:r>
          </w:p>
        </w:tc>
        <w:tc>
          <w:tcPr>
            <w:tcW w:w="1646"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+0.0196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lang w:val="en-US" w:eastAsia="zh-CN"/>
              </w:rPr>
            </w:pPr>
          </w:p>
        </w:tc>
        <w:tc>
          <w:tcPr>
            <w:tcW w:w="820" w:type="dxa"/>
            <w:vMerge w:val="continue"/>
            <w:vAlign w:val="center"/>
          </w:tcPr>
          <w:p>
            <w:pPr>
              <w:jc w:val="center"/>
              <w:rPr>
                <w:rFonts w:hint="default" w:ascii="Times New Roman" w:hAnsi="Times New Roman" w:eastAsia="宋体" w:cs="Times New Roman"/>
                <w:color w:val="auto"/>
                <w:sz w:val="18"/>
                <w:szCs w:val="18"/>
              </w:rPr>
            </w:pP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氨氮</w:t>
            </w:r>
          </w:p>
        </w:tc>
        <w:tc>
          <w:tcPr>
            <w:tcW w:w="2173"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0.0035</w:t>
            </w:r>
          </w:p>
        </w:tc>
        <w:tc>
          <w:tcPr>
            <w:tcW w:w="1147"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0.0035</w:t>
            </w:r>
          </w:p>
        </w:tc>
        <w:tc>
          <w:tcPr>
            <w:tcW w:w="1646"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+0.0035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continue"/>
            <w:vAlign w:val="center"/>
          </w:tcPr>
          <w:p>
            <w:pPr>
              <w:jc w:val="center"/>
              <w:rPr>
                <w:rFonts w:hint="default" w:ascii="Times New Roman" w:hAnsi="Times New Roman" w:eastAsia="宋体" w:cs="Times New Roman"/>
                <w:color w:val="auto"/>
                <w:sz w:val="18"/>
                <w:szCs w:val="18"/>
              </w:rPr>
            </w:pP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总磷</w:t>
            </w:r>
          </w:p>
        </w:tc>
        <w:tc>
          <w:tcPr>
            <w:tcW w:w="2173"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748" w:type="dxa"/>
            <w:vAlign w:val="bottom"/>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0.00056</w:t>
            </w:r>
          </w:p>
        </w:tc>
        <w:tc>
          <w:tcPr>
            <w:tcW w:w="1147"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bottom"/>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0.00056</w:t>
            </w:r>
          </w:p>
        </w:tc>
        <w:tc>
          <w:tcPr>
            <w:tcW w:w="1646" w:type="dxa"/>
            <w:vAlign w:val="bottom"/>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+0.00056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continue"/>
            <w:vAlign w:val="center"/>
          </w:tcPr>
          <w:p>
            <w:pPr>
              <w:jc w:val="center"/>
              <w:rPr>
                <w:rFonts w:hint="default" w:ascii="Times New Roman" w:hAnsi="Times New Roman" w:eastAsia="宋体" w:cs="Times New Roman"/>
                <w:color w:val="auto"/>
                <w:sz w:val="18"/>
                <w:szCs w:val="18"/>
              </w:rPr>
            </w:pPr>
          </w:p>
        </w:tc>
        <w:tc>
          <w:tcPr>
            <w:tcW w:w="820" w:type="dxa"/>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LAS</w:t>
            </w:r>
          </w:p>
        </w:tc>
        <w:tc>
          <w:tcPr>
            <w:tcW w:w="2173"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748" w:type="dxa"/>
            <w:vAlign w:val="bottom"/>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0.0014</w:t>
            </w:r>
          </w:p>
        </w:tc>
        <w:tc>
          <w:tcPr>
            <w:tcW w:w="1147"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bottom"/>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0.0014</w:t>
            </w:r>
          </w:p>
        </w:tc>
        <w:tc>
          <w:tcPr>
            <w:tcW w:w="1646" w:type="dxa"/>
            <w:vAlign w:val="bottom"/>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+0.0014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1491" w:type="dxa"/>
            <w:vMerge w:val="continue"/>
            <w:vAlign w:val="center"/>
          </w:tcPr>
          <w:p>
            <w:pPr>
              <w:pStyle w:val="118"/>
              <w:spacing w:beforeLines="0" w:afterLines="0" w:line="240" w:lineRule="auto"/>
              <w:ind w:firstLine="0" w:firstLineChars="0"/>
              <w:rPr>
                <w:rFonts w:hint="default" w:ascii="Times New Roman" w:hAnsi="Times New Roman" w:eastAsia="宋体" w:cs="Times New Roman"/>
                <w:snapToGrid w:val="0"/>
                <w:kern w:val="21"/>
                <w:sz w:val="18"/>
                <w:szCs w:val="18"/>
              </w:rPr>
            </w:pPr>
          </w:p>
        </w:tc>
        <w:tc>
          <w:tcPr>
            <w:tcW w:w="820" w:type="dxa"/>
            <w:vMerge w:val="continue"/>
            <w:vAlign w:val="center"/>
          </w:tcPr>
          <w:p>
            <w:pPr>
              <w:jc w:val="center"/>
              <w:rPr>
                <w:rFonts w:hint="default" w:ascii="Times New Roman" w:hAnsi="Times New Roman" w:eastAsia="宋体" w:cs="Times New Roman"/>
                <w:color w:val="auto"/>
                <w:sz w:val="18"/>
                <w:szCs w:val="18"/>
              </w:rPr>
            </w:pPr>
          </w:p>
        </w:tc>
        <w:tc>
          <w:tcPr>
            <w:tcW w:w="820"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总氮</w:t>
            </w:r>
          </w:p>
        </w:tc>
        <w:tc>
          <w:tcPr>
            <w:tcW w:w="2173"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748" w:type="dxa"/>
            <w:vAlign w:val="bottom"/>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0.0056</w:t>
            </w:r>
          </w:p>
        </w:tc>
        <w:tc>
          <w:tcPr>
            <w:tcW w:w="1147"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bottom"/>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0.0056</w:t>
            </w:r>
          </w:p>
        </w:tc>
        <w:tc>
          <w:tcPr>
            <w:tcW w:w="1646" w:type="dxa"/>
            <w:vAlign w:val="bottom"/>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kern w:val="2"/>
                <w:sz w:val="18"/>
                <w:szCs w:val="18"/>
                <w:lang w:val="en-US" w:eastAsia="zh-CN" w:bidi="ar-SA"/>
              </w:rPr>
              <w:t>+0.0056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491" w:type="dxa"/>
            <w:vMerge w:val="restart"/>
            <w:vAlign w:val="center"/>
          </w:tcPr>
          <w:p>
            <w:pPr>
              <w:pStyle w:val="118"/>
              <w:keepNext w:val="0"/>
              <w:keepLines w:val="0"/>
              <w:pageBreakBefore w:val="0"/>
              <w:widowControl w:val="0"/>
              <w:kinsoku/>
              <w:wordWrap w:val="0"/>
              <w:overflowPunct/>
              <w:topLinePunct w:val="0"/>
              <w:autoSpaceDE/>
              <w:autoSpaceDN/>
              <w:bidi w:val="0"/>
              <w:adjustRightInd w:val="0"/>
              <w:snapToGrid w:val="0"/>
              <w:spacing w:before="24" w:after="24" w:line="240" w:lineRule="auto"/>
              <w:ind w:firstLine="0" w:firstLineChars="0"/>
              <w:jc w:val="center"/>
              <w:textAlignment w:val="auto"/>
              <w:rPr>
                <w:rFonts w:hint="default" w:ascii="Times New Roman" w:hAnsi="Times New Roman" w:eastAsia="宋体" w:cs="Times New Roman"/>
                <w:snapToGrid w:val="0"/>
                <w:kern w:val="21"/>
                <w:sz w:val="18"/>
                <w:szCs w:val="18"/>
                <w:lang w:val="en-US" w:eastAsia="zh-CN"/>
              </w:rPr>
            </w:pPr>
            <w:r>
              <w:rPr>
                <w:rFonts w:hint="default" w:ascii="Times New Roman" w:hAnsi="Times New Roman" w:eastAsia="宋体" w:cs="Times New Roman"/>
                <w:snapToGrid w:val="0"/>
                <w:kern w:val="21"/>
                <w:sz w:val="18"/>
                <w:szCs w:val="18"/>
                <w:lang w:val="en-US" w:eastAsia="zh-CN"/>
              </w:rPr>
              <w:t>危险废物</w:t>
            </w:r>
          </w:p>
        </w:tc>
        <w:tc>
          <w:tcPr>
            <w:tcW w:w="1640" w:type="dxa"/>
            <w:gridSpan w:val="2"/>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感染性废物</w:t>
            </w:r>
          </w:p>
        </w:tc>
        <w:tc>
          <w:tcPr>
            <w:tcW w:w="2173"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kern w:val="2"/>
                <w:sz w:val="18"/>
                <w:szCs w:val="18"/>
                <w:lang w:val="en-US" w:eastAsia="zh-CN"/>
              </w:rPr>
              <w:t>0.1t/a</w:t>
            </w:r>
          </w:p>
        </w:tc>
        <w:tc>
          <w:tcPr>
            <w:tcW w:w="1147"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kern w:val="2"/>
                <w:sz w:val="18"/>
                <w:szCs w:val="18"/>
                <w:lang w:val="en-US" w:eastAsia="zh-CN"/>
              </w:rPr>
              <w:t>0.1t/a</w:t>
            </w:r>
          </w:p>
        </w:tc>
        <w:tc>
          <w:tcPr>
            <w:tcW w:w="1646" w:type="dxa"/>
            <w:vAlign w:val="center"/>
          </w:tcPr>
          <w:p>
            <w:pPr>
              <w:jc w:val="center"/>
              <w:rPr>
                <w:rFonts w:hint="default" w:ascii="Times New Roman" w:hAnsi="Times New Roman" w:eastAsia="宋体" w:cs="Times New Roman"/>
                <w:color w:val="auto"/>
                <w:sz w:val="18"/>
                <w:szCs w:val="18"/>
              </w:rPr>
            </w:pPr>
            <w:r>
              <w:rPr>
                <w:rFonts w:hint="default" w:ascii="Times New Roman" w:hAnsi="Times New Roman" w:eastAsia="宋体" w:cs="Times New Roman"/>
                <w:kern w:val="2"/>
                <w:sz w:val="18"/>
                <w:szCs w:val="18"/>
                <w:lang w:val="en-US" w:eastAsia="zh-CN"/>
              </w:rPr>
              <w:t>+0.1t/a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 w:hRule="atLeast"/>
          <w:jc w:val="center"/>
        </w:trPr>
        <w:tc>
          <w:tcPr>
            <w:tcW w:w="1491" w:type="dxa"/>
            <w:vMerge w:val="continue"/>
            <w:vAlign w:val="center"/>
          </w:tcPr>
          <w:p>
            <w:pPr>
              <w:pStyle w:val="118"/>
              <w:keepNext w:val="0"/>
              <w:keepLines w:val="0"/>
              <w:pageBreakBefore w:val="0"/>
              <w:widowControl w:val="0"/>
              <w:kinsoku/>
              <w:wordWrap w:val="0"/>
              <w:overflowPunct/>
              <w:topLinePunct w:val="0"/>
              <w:autoSpaceDE/>
              <w:autoSpaceDN/>
              <w:bidi w:val="0"/>
              <w:adjustRightInd w:val="0"/>
              <w:snapToGrid w:val="0"/>
              <w:spacing w:before="24" w:after="24" w:line="240" w:lineRule="auto"/>
              <w:ind w:firstLine="0" w:firstLineChars="0"/>
              <w:jc w:val="both"/>
              <w:textAlignment w:val="auto"/>
              <w:rPr>
                <w:rFonts w:hint="default" w:ascii="Times New Roman" w:hAnsi="Times New Roman" w:eastAsia="宋体" w:cs="Times New Roman"/>
                <w:snapToGrid w:val="0"/>
                <w:kern w:val="21"/>
                <w:sz w:val="18"/>
                <w:szCs w:val="18"/>
              </w:rPr>
            </w:pPr>
          </w:p>
        </w:tc>
        <w:tc>
          <w:tcPr>
            <w:tcW w:w="1640" w:type="dxa"/>
            <w:gridSpan w:val="2"/>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病理性废物</w:t>
            </w:r>
          </w:p>
        </w:tc>
        <w:tc>
          <w:tcPr>
            <w:tcW w:w="2173"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kern w:val="2"/>
                <w:sz w:val="18"/>
                <w:szCs w:val="18"/>
                <w:lang w:val="en-US" w:eastAsia="zh-CN"/>
              </w:rPr>
              <w:t>0.1t/a</w:t>
            </w:r>
          </w:p>
        </w:tc>
        <w:tc>
          <w:tcPr>
            <w:tcW w:w="1147"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kern w:val="2"/>
                <w:sz w:val="18"/>
                <w:szCs w:val="18"/>
                <w:lang w:val="en-US" w:eastAsia="zh-CN"/>
              </w:rPr>
              <w:t>0.1t/a</w:t>
            </w:r>
          </w:p>
        </w:tc>
        <w:tc>
          <w:tcPr>
            <w:tcW w:w="1646"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kern w:val="2"/>
                <w:sz w:val="18"/>
                <w:szCs w:val="18"/>
                <w:lang w:val="en-US" w:eastAsia="zh-CN"/>
              </w:rPr>
              <w:t>+0.1t/a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91" w:type="dxa"/>
            <w:vMerge w:val="restart"/>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一般工业固体废物</w:t>
            </w:r>
          </w:p>
        </w:tc>
        <w:tc>
          <w:tcPr>
            <w:tcW w:w="1640" w:type="dxa"/>
            <w:gridSpan w:val="2"/>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生活垃圾</w:t>
            </w:r>
          </w:p>
        </w:tc>
        <w:tc>
          <w:tcPr>
            <w:tcW w:w="2173"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kern w:val="2"/>
                <w:sz w:val="18"/>
                <w:szCs w:val="18"/>
                <w:lang w:val="en-US" w:eastAsia="zh-CN"/>
              </w:rPr>
              <w:t>6.6t/a</w:t>
            </w:r>
          </w:p>
        </w:tc>
        <w:tc>
          <w:tcPr>
            <w:tcW w:w="1147" w:type="dxa"/>
            <w:vAlign w:val="center"/>
          </w:tcPr>
          <w:p>
            <w:pPr>
              <w:jc w:val="center"/>
              <w:rPr>
                <w:rFonts w:hint="default" w:ascii="Times New Roman" w:hAnsi="Times New Roman" w:eastAsia="宋体" w:cs="Times New Roman"/>
                <w:snapToGrid w:val="0"/>
                <w:color w:val="auto"/>
                <w:kern w:val="21"/>
                <w:sz w:val="18"/>
                <w:szCs w:val="18"/>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kern w:val="2"/>
                <w:sz w:val="18"/>
                <w:szCs w:val="18"/>
                <w:lang w:val="en-US" w:eastAsia="zh-CN"/>
              </w:rPr>
              <w:t>6.6t/a</w:t>
            </w:r>
          </w:p>
        </w:tc>
        <w:tc>
          <w:tcPr>
            <w:tcW w:w="1646"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kern w:val="2"/>
                <w:sz w:val="18"/>
                <w:szCs w:val="18"/>
                <w:lang w:val="en-US" w:eastAsia="zh-CN"/>
              </w:rPr>
              <w:t>+6.6t/a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91" w:type="dxa"/>
            <w:vMerge w:val="continue"/>
            <w:vAlign w:val="center"/>
          </w:tcPr>
          <w:p>
            <w:pPr>
              <w:jc w:val="center"/>
              <w:rPr>
                <w:rFonts w:hint="default" w:ascii="Times New Roman" w:hAnsi="Times New Roman" w:eastAsia="宋体" w:cs="Times New Roman"/>
                <w:color w:val="auto"/>
                <w:sz w:val="18"/>
                <w:szCs w:val="18"/>
                <w:lang w:val="en-US" w:eastAsia="zh-CN"/>
              </w:rPr>
            </w:pPr>
          </w:p>
        </w:tc>
        <w:tc>
          <w:tcPr>
            <w:tcW w:w="1640" w:type="dxa"/>
            <w:gridSpan w:val="2"/>
            <w:vAlign w:val="center"/>
          </w:tcPr>
          <w:p>
            <w:pPr>
              <w:jc w:val="center"/>
              <w:rPr>
                <w:rFonts w:hint="default" w:ascii="Times New Roman" w:hAnsi="Times New Roman" w:eastAsia="宋体" w:cs="Times New Roman"/>
                <w:color w:val="auto"/>
                <w:sz w:val="18"/>
                <w:szCs w:val="18"/>
                <w:lang w:val="en-US" w:eastAsia="zh-CN"/>
              </w:rPr>
            </w:pPr>
            <w:r>
              <w:rPr>
                <w:rFonts w:hint="default" w:ascii="Times New Roman" w:hAnsi="Times New Roman" w:eastAsia="宋体" w:cs="Times New Roman"/>
                <w:color w:val="auto"/>
                <w:sz w:val="18"/>
                <w:szCs w:val="18"/>
                <w:lang w:val="en-US" w:eastAsia="zh-CN"/>
              </w:rPr>
              <w:t>动物粪便</w:t>
            </w:r>
          </w:p>
        </w:tc>
        <w:tc>
          <w:tcPr>
            <w:tcW w:w="2173" w:type="dxa"/>
            <w:vAlign w:val="center"/>
          </w:tcPr>
          <w:p>
            <w:pPr>
              <w:jc w:val="center"/>
              <w:rPr>
                <w:rFonts w:hint="default" w:ascii="Times New Roman" w:hAnsi="Times New Roman" w:eastAsia="宋体" w:cs="Times New Roman"/>
                <w:snapToGrid w:val="0"/>
                <w:color w:val="auto"/>
                <w:kern w:val="21"/>
                <w:sz w:val="18"/>
                <w:szCs w:val="18"/>
                <w:lang w:val="en-US" w:eastAsia="zh-CN" w:bidi="ar-SA"/>
              </w:rPr>
            </w:pPr>
            <w:r>
              <w:rPr>
                <w:rFonts w:hint="default" w:ascii="Times New Roman" w:hAnsi="Times New Roman" w:eastAsia="宋体" w:cs="Times New Roman"/>
                <w:color w:val="auto"/>
                <w:sz w:val="18"/>
                <w:szCs w:val="18"/>
                <w:lang w:val="en-US" w:eastAsia="zh-CN"/>
              </w:rPr>
              <w:t>0</w:t>
            </w:r>
          </w:p>
        </w:tc>
        <w:tc>
          <w:tcPr>
            <w:tcW w:w="1487" w:type="dxa"/>
            <w:vAlign w:val="center"/>
          </w:tcPr>
          <w:p>
            <w:pPr>
              <w:jc w:val="center"/>
              <w:rPr>
                <w:rFonts w:hint="default" w:ascii="Times New Roman" w:hAnsi="Times New Roman" w:eastAsia="宋体" w:cs="Times New Roman"/>
                <w:snapToGrid w:val="0"/>
                <w:color w:val="auto"/>
                <w:kern w:val="21"/>
                <w:sz w:val="18"/>
                <w:szCs w:val="18"/>
                <w:lang w:val="en-US" w:eastAsia="zh-CN" w:bidi="ar-SA"/>
              </w:rPr>
            </w:pPr>
            <w:r>
              <w:rPr>
                <w:rFonts w:hint="default" w:ascii="Times New Roman" w:hAnsi="Times New Roman" w:eastAsia="宋体" w:cs="Times New Roman"/>
                <w:color w:val="auto"/>
                <w:sz w:val="18"/>
                <w:szCs w:val="18"/>
                <w:lang w:val="en-US" w:eastAsia="zh-CN"/>
              </w:rPr>
              <w:t>0</w:t>
            </w:r>
          </w:p>
        </w:tc>
        <w:tc>
          <w:tcPr>
            <w:tcW w:w="1664" w:type="dxa"/>
            <w:vAlign w:val="center"/>
          </w:tcPr>
          <w:p>
            <w:pPr>
              <w:jc w:val="center"/>
              <w:rPr>
                <w:rFonts w:hint="default" w:ascii="Times New Roman" w:hAnsi="Times New Roman" w:eastAsia="宋体" w:cs="Times New Roman"/>
                <w:snapToGrid w:val="0"/>
                <w:color w:val="auto"/>
                <w:kern w:val="21"/>
                <w:sz w:val="18"/>
                <w:szCs w:val="18"/>
                <w:lang w:val="en-US" w:eastAsia="zh-CN" w:bidi="ar-SA"/>
              </w:rPr>
            </w:pPr>
            <w:r>
              <w:rPr>
                <w:rFonts w:hint="default" w:ascii="Times New Roman" w:hAnsi="Times New Roman" w:eastAsia="宋体" w:cs="Times New Roman"/>
                <w:color w:val="auto"/>
                <w:sz w:val="18"/>
                <w:szCs w:val="18"/>
                <w:lang w:val="en-US" w:eastAsia="zh-CN"/>
              </w:rPr>
              <w:t>0</w:t>
            </w:r>
          </w:p>
        </w:tc>
        <w:tc>
          <w:tcPr>
            <w:tcW w:w="1748"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kern w:val="2"/>
                <w:sz w:val="18"/>
                <w:szCs w:val="18"/>
                <w:lang w:val="en-US" w:eastAsia="zh-CN"/>
              </w:rPr>
              <w:t>0.1t/a</w:t>
            </w:r>
          </w:p>
        </w:tc>
        <w:tc>
          <w:tcPr>
            <w:tcW w:w="1147" w:type="dxa"/>
            <w:vAlign w:val="center"/>
          </w:tcPr>
          <w:p>
            <w:pPr>
              <w:jc w:val="center"/>
              <w:rPr>
                <w:rFonts w:hint="default" w:ascii="Times New Roman" w:hAnsi="Times New Roman" w:eastAsia="宋体" w:cs="Times New Roman"/>
                <w:snapToGrid w:val="0"/>
                <w:color w:val="auto"/>
                <w:kern w:val="21"/>
                <w:sz w:val="18"/>
                <w:szCs w:val="18"/>
                <w:lang w:val="en-US" w:eastAsia="zh-CN" w:bidi="ar-SA"/>
              </w:rPr>
            </w:pPr>
            <w:r>
              <w:rPr>
                <w:rFonts w:hint="default" w:ascii="Times New Roman" w:hAnsi="Times New Roman" w:eastAsia="宋体" w:cs="Times New Roman"/>
                <w:color w:val="auto"/>
                <w:sz w:val="18"/>
                <w:szCs w:val="18"/>
                <w:lang w:val="en-US" w:eastAsia="zh-CN"/>
              </w:rPr>
              <w:t>0</w:t>
            </w:r>
          </w:p>
        </w:tc>
        <w:tc>
          <w:tcPr>
            <w:tcW w:w="1322"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kern w:val="2"/>
                <w:sz w:val="18"/>
                <w:szCs w:val="18"/>
                <w:lang w:val="en-US" w:eastAsia="zh-CN"/>
              </w:rPr>
              <w:t>0.1t/a</w:t>
            </w:r>
          </w:p>
        </w:tc>
        <w:tc>
          <w:tcPr>
            <w:tcW w:w="1646" w:type="dxa"/>
            <w:vAlign w:val="center"/>
          </w:tcPr>
          <w:p>
            <w:pPr>
              <w:jc w:val="center"/>
              <w:rPr>
                <w:rFonts w:hint="default"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kern w:val="2"/>
                <w:sz w:val="18"/>
                <w:szCs w:val="18"/>
                <w:lang w:val="en-US" w:eastAsia="zh-CN"/>
              </w:rPr>
              <w:t>+0.1t/a</w:t>
            </w:r>
          </w:p>
        </w:tc>
      </w:tr>
    </w:tbl>
    <w:p>
      <w:pPr>
        <w:pStyle w:val="118"/>
        <w:spacing w:before="192" w:beforeLines="80" w:after="24" w:line="360" w:lineRule="auto"/>
        <w:ind w:firstLine="420"/>
        <w:jc w:val="left"/>
        <w:rPr>
          <w:rFonts w:hint="default" w:ascii="Times New Roman" w:hAnsi="Times New Roman" w:cs="Times New Roman"/>
          <w:snapToGrid w:val="0"/>
          <w:spacing w:val="-6"/>
          <w:kern w:val="21"/>
          <w:sz w:val="21"/>
          <w:szCs w:val="21"/>
        </w:rPr>
      </w:pPr>
      <w:r>
        <w:rPr>
          <w:rFonts w:hint="default" w:ascii="Times New Roman" w:hAnsi="Times New Roman" w:cs="Times New Roman"/>
          <w:snapToGrid w:val="0"/>
          <w:kern w:val="21"/>
          <w:sz w:val="21"/>
          <w:szCs w:val="21"/>
        </w:rPr>
        <w:t>注：</w:t>
      </w:r>
      <w:r>
        <w:rPr>
          <w:rFonts w:hint="default" w:ascii="Times New Roman" w:hAnsi="Times New Roman" w:cs="Times New Roman"/>
          <w:snapToGrid w:val="0"/>
          <w:spacing w:val="-16"/>
          <w:kern w:val="21"/>
          <w:sz w:val="21"/>
          <w:szCs w:val="21"/>
        </w:rPr>
        <w:fldChar w:fldCharType="begin"/>
      </w:r>
      <w:r>
        <w:rPr>
          <w:rFonts w:hint="default" w:ascii="Times New Roman" w:hAnsi="Times New Roman" w:cs="Times New Roman"/>
          <w:snapToGrid w:val="0"/>
          <w:spacing w:val="-16"/>
          <w:kern w:val="21"/>
          <w:sz w:val="21"/>
          <w:szCs w:val="21"/>
        </w:rPr>
        <w:instrText xml:space="preserve"> = 6 \* GB3 \* MERGEFORMAT </w:instrText>
      </w:r>
      <w:r>
        <w:rPr>
          <w:rFonts w:hint="default" w:ascii="Times New Roman" w:hAnsi="Times New Roman" w:cs="Times New Roman"/>
          <w:snapToGrid w:val="0"/>
          <w:spacing w:val="-16"/>
          <w:kern w:val="21"/>
          <w:sz w:val="21"/>
          <w:szCs w:val="21"/>
        </w:rPr>
        <w:fldChar w:fldCharType="separate"/>
      </w:r>
      <w:r>
        <w:rPr>
          <w:rFonts w:hint="default" w:ascii="Times New Roman" w:hAnsi="Times New Roman" w:cs="Times New Roman"/>
          <w:sz w:val="21"/>
          <w:szCs w:val="21"/>
        </w:rPr>
        <w:t>⑥</w:t>
      </w:r>
      <w:r>
        <w:rPr>
          <w:rFonts w:hint="default" w:ascii="Times New Roman" w:hAnsi="Times New Roman" w:cs="Times New Roman"/>
          <w:snapToGrid w:val="0"/>
          <w:spacing w:val="-16"/>
          <w:kern w:val="21"/>
          <w:sz w:val="21"/>
          <w:szCs w:val="21"/>
        </w:rPr>
        <w:fldChar w:fldCharType="end"/>
      </w:r>
      <w:r>
        <w:rPr>
          <w:rFonts w:hint="default" w:ascii="Times New Roman" w:hAnsi="Times New Roman" w:cs="Times New Roman"/>
          <w:snapToGrid w:val="0"/>
          <w:spacing w:val="-16"/>
          <w:kern w:val="21"/>
          <w:sz w:val="21"/>
          <w:szCs w:val="21"/>
        </w:rPr>
        <w:t>=</w:t>
      </w:r>
      <w:r>
        <w:rPr>
          <w:rFonts w:hint="default" w:ascii="Times New Roman" w:hAnsi="Times New Roman" w:cs="Times New Roman"/>
          <w:snapToGrid w:val="0"/>
          <w:spacing w:val="-6"/>
          <w:kern w:val="21"/>
          <w:sz w:val="21"/>
          <w:szCs w:val="21"/>
        </w:rPr>
        <w:fldChar w:fldCharType="begin"/>
      </w:r>
      <w:r>
        <w:rPr>
          <w:rFonts w:hint="default" w:ascii="Times New Roman" w:hAnsi="Times New Roman" w:cs="Times New Roman"/>
          <w:snapToGrid w:val="0"/>
          <w:spacing w:val="-6"/>
          <w:kern w:val="21"/>
          <w:sz w:val="21"/>
          <w:szCs w:val="21"/>
        </w:rPr>
        <w:instrText xml:space="preserve"> = 1 \* GB3 \* MERGEFORMAT </w:instrText>
      </w:r>
      <w:r>
        <w:rPr>
          <w:rFonts w:hint="default" w:ascii="Times New Roman" w:hAnsi="Times New Roman" w:cs="Times New Roman"/>
          <w:snapToGrid w:val="0"/>
          <w:spacing w:val="-6"/>
          <w:kern w:val="21"/>
          <w:sz w:val="21"/>
          <w:szCs w:val="21"/>
        </w:rPr>
        <w:fldChar w:fldCharType="separate"/>
      </w:r>
      <w:r>
        <w:rPr>
          <w:rFonts w:hint="default" w:ascii="Times New Roman" w:hAnsi="Times New Roman" w:cs="Times New Roman"/>
          <w:sz w:val="21"/>
          <w:szCs w:val="21"/>
        </w:rPr>
        <w:t>①</w:t>
      </w:r>
      <w:r>
        <w:rPr>
          <w:rFonts w:hint="default" w:ascii="Times New Roman" w:hAnsi="Times New Roman" w:cs="Times New Roman"/>
          <w:snapToGrid w:val="0"/>
          <w:spacing w:val="-6"/>
          <w:kern w:val="21"/>
          <w:sz w:val="21"/>
          <w:szCs w:val="21"/>
        </w:rPr>
        <w:fldChar w:fldCharType="end"/>
      </w:r>
      <w:r>
        <w:rPr>
          <w:rFonts w:hint="default" w:ascii="Times New Roman" w:hAnsi="Times New Roman" w:cs="Times New Roman"/>
          <w:snapToGrid w:val="0"/>
          <w:spacing w:val="-6"/>
          <w:kern w:val="21"/>
          <w:sz w:val="21"/>
          <w:szCs w:val="21"/>
        </w:rPr>
        <w:t>+</w:t>
      </w:r>
      <w:r>
        <w:rPr>
          <w:rFonts w:hint="default" w:ascii="Times New Roman" w:hAnsi="Times New Roman" w:cs="Times New Roman"/>
          <w:snapToGrid w:val="0"/>
          <w:spacing w:val="-6"/>
          <w:kern w:val="21"/>
          <w:sz w:val="21"/>
          <w:szCs w:val="21"/>
        </w:rPr>
        <w:fldChar w:fldCharType="begin"/>
      </w:r>
      <w:r>
        <w:rPr>
          <w:rFonts w:hint="default" w:ascii="Times New Roman" w:hAnsi="Times New Roman" w:cs="Times New Roman"/>
          <w:snapToGrid w:val="0"/>
          <w:spacing w:val="-6"/>
          <w:kern w:val="21"/>
          <w:sz w:val="21"/>
          <w:szCs w:val="21"/>
        </w:rPr>
        <w:instrText xml:space="preserve"> = 3 \* GB3 \* MERGEFORMAT </w:instrText>
      </w:r>
      <w:r>
        <w:rPr>
          <w:rFonts w:hint="default" w:ascii="Times New Roman" w:hAnsi="Times New Roman" w:cs="Times New Roman"/>
          <w:snapToGrid w:val="0"/>
          <w:spacing w:val="-6"/>
          <w:kern w:val="21"/>
          <w:sz w:val="21"/>
          <w:szCs w:val="21"/>
        </w:rPr>
        <w:fldChar w:fldCharType="separate"/>
      </w:r>
      <w:r>
        <w:rPr>
          <w:rFonts w:hint="default" w:ascii="Times New Roman" w:hAnsi="Times New Roman" w:cs="Times New Roman"/>
          <w:sz w:val="21"/>
          <w:szCs w:val="21"/>
        </w:rPr>
        <w:t>③</w:t>
      </w:r>
      <w:r>
        <w:rPr>
          <w:rFonts w:hint="default" w:ascii="Times New Roman" w:hAnsi="Times New Roman" w:cs="Times New Roman"/>
          <w:snapToGrid w:val="0"/>
          <w:spacing w:val="-6"/>
          <w:kern w:val="21"/>
          <w:sz w:val="21"/>
          <w:szCs w:val="21"/>
        </w:rPr>
        <w:fldChar w:fldCharType="end"/>
      </w:r>
      <w:r>
        <w:rPr>
          <w:rFonts w:hint="default" w:ascii="Times New Roman" w:hAnsi="Times New Roman" w:cs="Times New Roman"/>
          <w:snapToGrid w:val="0"/>
          <w:spacing w:val="-6"/>
          <w:kern w:val="21"/>
          <w:sz w:val="21"/>
          <w:szCs w:val="21"/>
        </w:rPr>
        <w:t>+</w:t>
      </w:r>
      <w:r>
        <w:rPr>
          <w:rFonts w:hint="default" w:ascii="Times New Roman" w:hAnsi="Times New Roman" w:cs="Times New Roman"/>
          <w:snapToGrid w:val="0"/>
          <w:spacing w:val="-6"/>
          <w:kern w:val="21"/>
          <w:sz w:val="21"/>
          <w:szCs w:val="21"/>
        </w:rPr>
        <w:fldChar w:fldCharType="begin"/>
      </w:r>
      <w:r>
        <w:rPr>
          <w:rFonts w:hint="default" w:ascii="Times New Roman" w:hAnsi="Times New Roman" w:cs="Times New Roman"/>
          <w:snapToGrid w:val="0"/>
          <w:spacing w:val="-6"/>
          <w:kern w:val="21"/>
          <w:sz w:val="21"/>
          <w:szCs w:val="21"/>
        </w:rPr>
        <w:instrText xml:space="preserve"> = 4 \* GB3 \* MERGEFORMAT </w:instrText>
      </w:r>
      <w:r>
        <w:rPr>
          <w:rFonts w:hint="default" w:ascii="Times New Roman" w:hAnsi="Times New Roman" w:cs="Times New Roman"/>
          <w:snapToGrid w:val="0"/>
          <w:spacing w:val="-6"/>
          <w:kern w:val="21"/>
          <w:sz w:val="21"/>
          <w:szCs w:val="21"/>
        </w:rPr>
        <w:fldChar w:fldCharType="separate"/>
      </w:r>
      <w:r>
        <w:rPr>
          <w:rFonts w:hint="default" w:ascii="Times New Roman" w:hAnsi="Times New Roman" w:cs="Times New Roman"/>
          <w:sz w:val="21"/>
          <w:szCs w:val="21"/>
        </w:rPr>
        <w:t>④</w:t>
      </w:r>
      <w:r>
        <w:rPr>
          <w:rFonts w:hint="default" w:ascii="Times New Roman" w:hAnsi="Times New Roman" w:cs="Times New Roman"/>
          <w:snapToGrid w:val="0"/>
          <w:spacing w:val="-6"/>
          <w:kern w:val="21"/>
          <w:sz w:val="21"/>
          <w:szCs w:val="21"/>
        </w:rPr>
        <w:fldChar w:fldCharType="end"/>
      </w:r>
      <w:r>
        <w:rPr>
          <w:rFonts w:hint="default" w:ascii="Times New Roman" w:hAnsi="Times New Roman" w:cs="Times New Roman"/>
          <w:snapToGrid w:val="0"/>
          <w:spacing w:val="-6"/>
          <w:kern w:val="21"/>
          <w:sz w:val="21"/>
          <w:szCs w:val="21"/>
        </w:rPr>
        <w:t>-</w:t>
      </w:r>
      <w:r>
        <w:rPr>
          <w:rFonts w:hint="default" w:ascii="Times New Roman" w:hAnsi="Times New Roman" w:cs="Times New Roman"/>
          <w:snapToGrid w:val="0"/>
          <w:spacing w:val="-16"/>
          <w:kern w:val="21"/>
          <w:sz w:val="21"/>
          <w:szCs w:val="21"/>
        </w:rPr>
        <w:fldChar w:fldCharType="begin"/>
      </w:r>
      <w:r>
        <w:rPr>
          <w:rFonts w:hint="default" w:ascii="Times New Roman" w:hAnsi="Times New Roman" w:cs="Times New Roman"/>
          <w:snapToGrid w:val="0"/>
          <w:spacing w:val="-16"/>
          <w:kern w:val="21"/>
          <w:sz w:val="21"/>
          <w:szCs w:val="21"/>
        </w:rPr>
        <w:instrText xml:space="preserve"> = 5 \* GB3 \* MERGEFORMAT </w:instrText>
      </w:r>
      <w:r>
        <w:rPr>
          <w:rFonts w:hint="default" w:ascii="Times New Roman" w:hAnsi="Times New Roman" w:cs="Times New Roman"/>
          <w:snapToGrid w:val="0"/>
          <w:spacing w:val="-16"/>
          <w:kern w:val="21"/>
          <w:sz w:val="21"/>
          <w:szCs w:val="21"/>
        </w:rPr>
        <w:fldChar w:fldCharType="separate"/>
      </w:r>
      <w:r>
        <w:rPr>
          <w:rFonts w:hint="default" w:ascii="Times New Roman" w:hAnsi="Times New Roman" w:cs="Times New Roman"/>
          <w:sz w:val="21"/>
          <w:szCs w:val="21"/>
        </w:rPr>
        <w:t>⑤</w:t>
      </w:r>
      <w:r>
        <w:rPr>
          <w:rFonts w:hint="default" w:ascii="Times New Roman" w:hAnsi="Times New Roman" w:cs="Times New Roman"/>
          <w:snapToGrid w:val="0"/>
          <w:spacing w:val="-16"/>
          <w:kern w:val="21"/>
          <w:sz w:val="21"/>
          <w:szCs w:val="21"/>
        </w:rPr>
        <w:fldChar w:fldCharType="end"/>
      </w:r>
      <w:r>
        <w:rPr>
          <w:rFonts w:hint="default" w:ascii="Times New Roman" w:hAnsi="Times New Roman" w:cs="Times New Roman"/>
          <w:snapToGrid w:val="0"/>
          <w:spacing w:val="-16"/>
          <w:kern w:val="21"/>
          <w:sz w:val="21"/>
          <w:szCs w:val="21"/>
        </w:rPr>
        <w:t>；</w:t>
      </w:r>
      <w:r>
        <w:rPr>
          <w:rFonts w:hint="default" w:ascii="Times New Roman" w:hAnsi="Times New Roman" w:cs="Times New Roman"/>
          <w:snapToGrid w:val="0"/>
          <w:spacing w:val="-6"/>
          <w:kern w:val="21"/>
          <w:sz w:val="21"/>
          <w:szCs w:val="21"/>
        </w:rPr>
        <w:fldChar w:fldCharType="begin"/>
      </w:r>
      <w:r>
        <w:rPr>
          <w:rFonts w:hint="default" w:ascii="Times New Roman" w:hAnsi="Times New Roman" w:cs="Times New Roman"/>
          <w:snapToGrid w:val="0"/>
          <w:spacing w:val="-6"/>
          <w:kern w:val="21"/>
          <w:sz w:val="21"/>
          <w:szCs w:val="21"/>
        </w:rPr>
        <w:instrText xml:space="preserve"> = 7 \* GB3 \* MERGEFORMAT </w:instrText>
      </w:r>
      <w:r>
        <w:rPr>
          <w:rFonts w:hint="default" w:ascii="Times New Roman" w:hAnsi="Times New Roman" w:cs="Times New Roman"/>
          <w:snapToGrid w:val="0"/>
          <w:spacing w:val="-6"/>
          <w:kern w:val="21"/>
          <w:sz w:val="21"/>
          <w:szCs w:val="21"/>
        </w:rPr>
        <w:fldChar w:fldCharType="separate"/>
      </w:r>
      <w:r>
        <w:rPr>
          <w:rFonts w:hint="default" w:ascii="Times New Roman" w:hAnsi="Times New Roman" w:cs="Times New Roman"/>
          <w:sz w:val="21"/>
          <w:szCs w:val="21"/>
        </w:rPr>
        <w:t>⑦</w:t>
      </w:r>
      <w:r>
        <w:rPr>
          <w:rFonts w:hint="default" w:ascii="Times New Roman" w:hAnsi="Times New Roman" w:cs="Times New Roman"/>
          <w:snapToGrid w:val="0"/>
          <w:spacing w:val="-6"/>
          <w:kern w:val="21"/>
          <w:sz w:val="21"/>
          <w:szCs w:val="21"/>
        </w:rPr>
        <w:fldChar w:fldCharType="end"/>
      </w:r>
      <w:r>
        <w:rPr>
          <w:rFonts w:hint="default" w:ascii="Times New Roman" w:hAnsi="Times New Roman" w:cs="Times New Roman"/>
          <w:snapToGrid w:val="0"/>
          <w:spacing w:val="-6"/>
          <w:kern w:val="21"/>
          <w:sz w:val="21"/>
          <w:szCs w:val="21"/>
        </w:rPr>
        <w:t>=</w:t>
      </w:r>
      <w:r>
        <w:rPr>
          <w:rFonts w:hint="default" w:ascii="Times New Roman" w:hAnsi="Times New Roman" w:cs="Times New Roman"/>
          <w:snapToGrid w:val="0"/>
          <w:spacing w:val="-16"/>
          <w:kern w:val="21"/>
          <w:sz w:val="21"/>
          <w:szCs w:val="21"/>
        </w:rPr>
        <w:fldChar w:fldCharType="begin"/>
      </w:r>
      <w:r>
        <w:rPr>
          <w:rFonts w:hint="default" w:ascii="Times New Roman" w:hAnsi="Times New Roman" w:cs="Times New Roman"/>
          <w:snapToGrid w:val="0"/>
          <w:spacing w:val="-16"/>
          <w:kern w:val="21"/>
          <w:sz w:val="21"/>
          <w:szCs w:val="21"/>
        </w:rPr>
        <w:instrText xml:space="preserve"> = 6 \* GB3 \* MERGEFORMAT </w:instrText>
      </w:r>
      <w:r>
        <w:rPr>
          <w:rFonts w:hint="default" w:ascii="Times New Roman" w:hAnsi="Times New Roman" w:cs="Times New Roman"/>
          <w:snapToGrid w:val="0"/>
          <w:spacing w:val="-16"/>
          <w:kern w:val="21"/>
          <w:sz w:val="21"/>
          <w:szCs w:val="21"/>
        </w:rPr>
        <w:fldChar w:fldCharType="separate"/>
      </w:r>
      <w:r>
        <w:rPr>
          <w:rFonts w:hint="default" w:ascii="Times New Roman" w:hAnsi="Times New Roman" w:cs="Times New Roman"/>
          <w:sz w:val="21"/>
          <w:szCs w:val="21"/>
        </w:rPr>
        <w:t>⑥</w:t>
      </w:r>
      <w:r>
        <w:rPr>
          <w:rFonts w:hint="default" w:ascii="Times New Roman" w:hAnsi="Times New Roman" w:cs="Times New Roman"/>
          <w:snapToGrid w:val="0"/>
          <w:spacing w:val="-16"/>
          <w:kern w:val="21"/>
          <w:sz w:val="21"/>
          <w:szCs w:val="21"/>
        </w:rPr>
        <w:fldChar w:fldCharType="end"/>
      </w:r>
      <w:r>
        <w:rPr>
          <w:rFonts w:hint="default" w:ascii="Times New Roman" w:hAnsi="Times New Roman" w:cs="Times New Roman"/>
          <w:snapToGrid w:val="0"/>
          <w:spacing w:val="-16"/>
          <w:kern w:val="21"/>
          <w:sz w:val="21"/>
          <w:szCs w:val="21"/>
        </w:rPr>
        <w:t>-</w:t>
      </w:r>
      <w:r>
        <w:rPr>
          <w:rFonts w:hint="default" w:ascii="Times New Roman" w:hAnsi="Times New Roman" w:cs="Times New Roman"/>
          <w:snapToGrid w:val="0"/>
          <w:spacing w:val="-6"/>
          <w:kern w:val="21"/>
          <w:sz w:val="21"/>
          <w:szCs w:val="21"/>
        </w:rPr>
        <w:fldChar w:fldCharType="begin"/>
      </w:r>
      <w:r>
        <w:rPr>
          <w:rFonts w:hint="default" w:ascii="Times New Roman" w:hAnsi="Times New Roman" w:cs="Times New Roman"/>
          <w:snapToGrid w:val="0"/>
          <w:spacing w:val="-6"/>
          <w:kern w:val="21"/>
          <w:sz w:val="21"/>
          <w:szCs w:val="21"/>
        </w:rPr>
        <w:instrText xml:space="preserve"> = 1 \* GB3 \* MERGEFORMAT </w:instrText>
      </w:r>
      <w:r>
        <w:rPr>
          <w:rFonts w:hint="default" w:ascii="Times New Roman" w:hAnsi="Times New Roman" w:cs="Times New Roman"/>
          <w:snapToGrid w:val="0"/>
          <w:spacing w:val="-6"/>
          <w:kern w:val="21"/>
          <w:sz w:val="21"/>
          <w:szCs w:val="21"/>
        </w:rPr>
        <w:fldChar w:fldCharType="separate"/>
      </w:r>
      <w:r>
        <w:rPr>
          <w:rFonts w:hint="default" w:ascii="Times New Roman" w:hAnsi="Times New Roman" w:cs="Times New Roman"/>
          <w:sz w:val="21"/>
          <w:szCs w:val="21"/>
        </w:rPr>
        <w:t>①</w:t>
      </w:r>
      <w:r>
        <w:rPr>
          <w:rFonts w:hint="default" w:ascii="Times New Roman" w:hAnsi="Times New Roman" w:cs="Times New Roman"/>
          <w:snapToGrid w:val="0"/>
          <w:spacing w:val="-6"/>
          <w:kern w:val="21"/>
          <w:sz w:val="21"/>
          <w:szCs w:val="21"/>
        </w:rPr>
        <w:fldChar w:fldCharType="end"/>
      </w:r>
    </w:p>
    <w:p>
      <w:pPr>
        <w:spacing w:line="360" w:lineRule="auto"/>
        <w:jc w:val="left"/>
        <w:rPr>
          <w:rFonts w:hint="default" w:ascii="Times New Roman" w:hAnsi="Times New Roman" w:cs="Times New Roman"/>
          <w:sz w:val="21"/>
          <w:szCs w:val="21"/>
        </w:rPr>
        <w:sectPr>
          <w:footerReference r:id="rId7" w:type="default"/>
          <w:pgSz w:w="16838" w:h="11906" w:orient="landscape"/>
          <w:pgMar w:top="1418" w:right="1531" w:bottom="1418" w:left="1531" w:header="851" w:footer="851" w:gutter="0"/>
          <w:cols w:space="720" w:num="1"/>
          <w:docGrid w:linePitch="312" w:charSpace="0"/>
        </w:sectPr>
      </w:pPr>
      <w:r>
        <w:rPr>
          <w:rFonts w:hint="default" w:ascii="Times New Roman" w:hAnsi="Times New Roman" w:eastAsia="宋体" w:cs="Times New Roman"/>
          <w:sz w:val="21"/>
          <w:szCs w:val="21"/>
        </w:rPr>
        <w:t>（填写建设项目污染物排放量汇总表，其中现有工程污染物排放情况根据排污许可证执行报告填写，无排污许可证执行报告或执行报告中无相关内容的，通过监测数据核算现有工程污染物排放情况。</w:t>
      </w:r>
      <w:r>
        <w:rPr>
          <w:rFonts w:hint="default" w:ascii="Times New Roman" w:hAnsi="Times New Roman" w:cs="Times New Roman"/>
          <w:sz w:val="21"/>
          <w:szCs w:val="21"/>
        </w:rPr>
        <w:t>）</w:t>
      </w:r>
    </w:p>
    <w:tbl>
      <w:tblPr>
        <w:tblStyle w:val="36"/>
        <w:tblW w:w="874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7" w:hRule="atLeast"/>
        </w:trPr>
        <w:tc>
          <w:tcPr>
            <w:tcW w:w="8738" w:type="dxa"/>
          </w:tcPr>
          <w:p>
            <w:pPr>
              <w:spacing w:line="360" w:lineRule="auto"/>
              <w:ind w:right="195" w:rightChars="93"/>
              <w:rPr>
                <w:sz w:val="24"/>
              </w:rPr>
            </w:pPr>
            <w:r>
              <w:rPr>
                <w:sz w:val="24"/>
              </w:rPr>
              <w:t>预审意见：</w:t>
            </w: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p>
          <w:p>
            <w:pPr>
              <w:spacing w:line="360" w:lineRule="auto"/>
              <w:ind w:right="195" w:rightChars="93"/>
              <w:jc w:val="center"/>
              <w:rPr>
                <w:sz w:val="24"/>
              </w:rPr>
            </w:pPr>
            <w:r>
              <w:rPr>
                <w:rFonts w:hint="eastAsia"/>
                <w:sz w:val="24"/>
                <w:lang w:val="en-US" w:eastAsia="zh-CN"/>
              </w:rPr>
              <w:t xml:space="preserve">                                      </w:t>
            </w:r>
            <w:r>
              <w:rPr>
                <w:sz w:val="24"/>
              </w:rPr>
              <w:t>公章</w:t>
            </w: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r>
              <w:rPr>
                <w:sz w:val="24"/>
              </w:rPr>
              <w:t>经办</w:t>
            </w:r>
            <w:r>
              <w:rPr>
                <w:rFonts w:hint="eastAsia"/>
                <w:sz w:val="24"/>
                <w:lang w:val="en-US" w:eastAsia="zh-CN"/>
              </w:rPr>
              <w:t>人</w:t>
            </w:r>
            <w:r>
              <w:rPr>
                <w:sz w:val="24"/>
              </w:rPr>
              <w:t>：</w:t>
            </w:r>
            <w:r>
              <w:rPr>
                <w:rFonts w:hint="eastAsia"/>
                <w:sz w:val="24"/>
                <w:lang w:val="en-US" w:eastAsia="zh-CN"/>
              </w:rPr>
              <w:t xml:space="preserve">                                         </w:t>
            </w:r>
            <w:r>
              <w:rPr>
                <w:sz w:val="24"/>
              </w:rPr>
              <w:t>年</w:t>
            </w:r>
            <w:r>
              <w:rPr>
                <w:rFonts w:hint="eastAsia"/>
                <w:sz w:val="24"/>
                <w:lang w:val="en-US" w:eastAsia="zh-CN"/>
              </w:rPr>
              <w:t xml:space="preserve">   </w:t>
            </w:r>
            <w:r>
              <w:rPr>
                <w:sz w:val="24"/>
              </w:rPr>
              <w:t>月</w:t>
            </w:r>
            <w:r>
              <w:rPr>
                <w:rFonts w:hint="eastAsia"/>
                <w:sz w:val="24"/>
                <w:lang w:val="en-US" w:eastAsia="zh-CN"/>
              </w:rPr>
              <w:t xml:space="preserve">   </w:t>
            </w:r>
            <w:r>
              <w:rPr>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3" w:hRule="atLeast"/>
        </w:trPr>
        <w:tc>
          <w:tcPr>
            <w:tcW w:w="8738" w:type="dxa"/>
          </w:tcPr>
          <w:p>
            <w:pPr>
              <w:spacing w:line="360" w:lineRule="auto"/>
              <w:ind w:right="195" w:rightChars="93"/>
              <w:rPr>
                <w:sz w:val="24"/>
              </w:rPr>
            </w:pPr>
            <w:r>
              <w:rPr>
                <w:rFonts w:hint="eastAsia"/>
                <w:sz w:val="24"/>
                <w:lang w:val="en-US" w:eastAsia="zh-CN"/>
              </w:rPr>
              <w:t>审批意见</w:t>
            </w:r>
            <w:r>
              <w:rPr>
                <w:sz w:val="24"/>
              </w:rPr>
              <w:t>：</w:t>
            </w: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p>
          <w:p>
            <w:pPr>
              <w:spacing w:line="360" w:lineRule="auto"/>
              <w:ind w:right="195" w:rightChars="93"/>
              <w:jc w:val="center"/>
              <w:rPr>
                <w:sz w:val="24"/>
              </w:rPr>
            </w:pPr>
            <w:r>
              <w:rPr>
                <w:rFonts w:hint="eastAsia"/>
                <w:sz w:val="24"/>
                <w:lang w:val="en-US" w:eastAsia="zh-CN"/>
              </w:rPr>
              <w:t xml:space="preserve">                                      </w:t>
            </w:r>
            <w:r>
              <w:rPr>
                <w:sz w:val="24"/>
              </w:rPr>
              <w:t>公章</w:t>
            </w: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p>
          <w:p>
            <w:pPr>
              <w:spacing w:line="360" w:lineRule="auto"/>
              <w:ind w:right="195" w:rightChars="93"/>
              <w:rPr>
                <w:sz w:val="24"/>
              </w:rPr>
            </w:pPr>
            <w:r>
              <w:rPr>
                <w:sz w:val="24"/>
              </w:rPr>
              <w:t>经办</w:t>
            </w:r>
            <w:r>
              <w:rPr>
                <w:rFonts w:hint="eastAsia"/>
                <w:sz w:val="24"/>
                <w:lang w:val="en-US" w:eastAsia="zh-CN"/>
              </w:rPr>
              <w:t>人</w:t>
            </w:r>
            <w:r>
              <w:rPr>
                <w:sz w:val="24"/>
              </w:rPr>
              <w:t>：</w:t>
            </w:r>
            <w:r>
              <w:rPr>
                <w:rFonts w:hint="eastAsia"/>
                <w:sz w:val="24"/>
                <w:lang w:val="en-US" w:eastAsia="zh-CN"/>
              </w:rPr>
              <w:t xml:space="preserve">                                        </w:t>
            </w:r>
            <w:r>
              <w:rPr>
                <w:sz w:val="24"/>
              </w:rPr>
              <w:t>年</w:t>
            </w:r>
            <w:r>
              <w:rPr>
                <w:rFonts w:hint="eastAsia"/>
                <w:sz w:val="24"/>
                <w:lang w:val="en-US" w:eastAsia="zh-CN"/>
              </w:rPr>
              <w:t xml:space="preserve">     </w:t>
            </w:r>
            <w:r>
              <w:rPr>
                <w:sz w:val="24"/>
              </w:rPr>
              <w:t>月</w:t>
            </w:r>
            <w:r>
              <w:rPr>
                <w:rFonts w:hint="eastAsia"/>
                <w:sz w:val="24"/>
                <w:lang w:val="en-US" w:eastAsia="zh-CN"/>
              </w:rPr>
              <w:t xml:space="preserve">   </w:t>
            </w:r>
            <w:r>
              <w:rPr>
                <w:sz w:val="24"/>
              </w:rPr>
              <w:t>日</w:t>
            </w:r>
          </w:p>
          <w:p>
            <w:pPr>
              <w:spacing w:line="360" w:lineRule="auto"/>
              <w:ind w:right="195" w:rightChars="93"/>
              <w:rPr>
                <w:sz w:val="24"/>
              </w:rPr>
            </w:pPr>
          </w:p>
        </w:tc>
      </w:tr>
    </w:tbl>
    <w:p>
      <w:pPr>
        <w:rPr>
          <w:vanish/>
          <w:color w:val="FF0000"/>
        </w:rPr>
      </w:pPr>
    </w:p>
    <w:tbl>
      <w:tblPr>
        <w:tblStyle w:val="36"/>
        <w:tblpPr w:leftFromText="180" w:rightFromText="180" w:vertAnchor="text" w:horzAnchor="page" w:tblpX="1644" w:tblpY="16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9" w:hRule="atLeast"/>
        </w:trPr>
        <w:tc>
          <w:tcPr>
            <w:tcW w:w="8768" w:type="dxa"/>
          </w:tcPr>
          <w:p>
            <w:pPr>
              <w:spacing w:line="360" w:lineRule="auto"/>
              <w:ind w:right="195" w:rightChars="93"/>
              <w:rPr>
                <w:rFonts w:ascii="宋体" w:hAnsi="宋体" w:cs="宋体"/>
              </w:rPr>
            </w:pPr>
          </w:p>
          <w:p>
            <w:pPr>
              <w:spacing w:line="360" w:lineRule="auto"/>
              <w:ind w:right="195" w:rightChars="93"/>
              <w:jc w:val="center"/>
              <w:rPr>
                <w:rFonts w:ascii="宋体" w:hAnsi="宋体" w:cs="宋体"/>
              </w:rPr>
            </w:pPr>
            <w:r>
              <w:rPr>
                <w:rFonts w:hint="eastAsia" w:ascii="宋体" w:hAnsi="宋体" w:cs="宋体"/>
              </w:rPr>
              <w:t>注释</w:t>
            </w:r>
          </w:p>
          <w:p>
            <w:pPr>
              <w:spacing w:line="360" w:lineRule="auto"/>
              <w:ind w:right="195" w:rightChars="93"/>
              <w:rPr>
                <w:rFonts w:ascii="宋体" w:hAnsi="宋体" w:cs="宋体"/>
              </w:rPr>
            </w:pPr>
          </w:p>
          <w:p>
            <w:pPr>
              <w:spacing w:line="360" w:lineRule="auto"/>
              <w:ind w:right="195" w:rightChars="93"/>
              <w:rPr>
                <w:rFonts w:ascii="宋体" w:hAnsi="宋体" w:cs="宋体"/>
              </w:rPr>
            </w:pPr>
          </w:p>
          <w:p>
            <w:pPr>
              <w:numPr>
                <w:ilvl w:val="0"/>
                <w:numId w:val="10"/>
              </w:numPr>
              <w:spacing w:line="360" w:lineRule="auto"/>
              <w:ind w:left="0" w:right="195" w:rightChars="93"/>
              <w:rPr>
                <w:rFonts w:ascii="宋体" w:hAnsi="宋体" w:cs="宋体"/>
              </w:rPr>
            </w:pPr>
            <w:r>
              <w:rPr>
                <w:rFonts w:hint="eastAsia" w:ascii="宋体" w:hAnsi="宋体" w:cs="宋体"/>
              </w:rPr>
              <w:t>本报告表应附以下附件、附图：</w:t>
            </w:r>
          </w:p>
          <w:p>
            <w:pPr>
              <w:spacing w:line="360" w:lineRule="auto"/>
              <w:ind w:right="195" w:rightChars="93"/>
              <w:rPr>
                <w:rFonts w:ascii="宋体" w:hAnsi="宋体" w:cs="宋体"/>
              </w:rPr>
            </w:pPr>
            <w:r>
              <w:rPr>
                <w:rFonts w:hint="eastAsia" w:ascii="宋体" w:hAnsi="宋体" w:cs="宋体"/>
              </w:rPr>
              <w:t>附图一：建设项目地理位置图</w:t>
            </w:r>
          </w:p>
          <w:p>
            <w:pPr>
              <w:spacing w:line="360" w:lineRule="auto"/>
              <w:ind w:right="195" w:rightChars="93"/>
              <w:rPr>
                <w:rFonts w:ascii="宋体" w:hAnsi="宋体" w:cs="宋体"/>
              </w:rPr>
            </w:pPr>
            <w:r>
              <w:rPr>
                <w:rFonts w:hint="eastAsia" w:ascii="宋体" w:hAnsi="宋体" w:cs="宋体"/>
              </w:rPr>
              <w:t>附图二：建设项目周边环境概况图</w:t>
            </w:r>
          </w:p>
          <w:p>
            <w:pPr>
              <w:spacing w:line="360" w:lineRule="auto"/>
              <w:ind w:right="195" w:rightChars="93"/>
              <w:rPr>
                <w:rFonts w:ascii="宋体" w:hAnsi="宋体" w:cs="宋体"/>
              </w:rPr>
            </w:pPr>
            <w:r>
              <w:rPr>
                <w:rFonts w:hint="eastAsia" w:ascii="宋体" w:hAnsi="宋体" w:cs="宋体"/>
              </w:rPr>
              <w:t>附图三：建设项目平面布置图</w:t>
            </w:r>
          </w:p>
          <w:p>
            <w:pPr>
              <w:spacing w:line="360" w:lineRule="auto"/>
              <w:ind w:right="195" w:rightChars="93"/>
              <w:rPr>
                <w:rFonts w:ascii="宋体" w:hAnsi="宋体" w:cs="宋体"/>
              </w:rPr>
            </w:pPr>
            <w:r>
              <w:rPr>
                <w:rFonts w:hint="eastAsia" w:ascii="宋体" w:hAnsi="宋体" w:cs="宋体"/>
              </w:rPr>
              <w:t>附图四：建设项目车间及周边环境图</w:t>
            </w:r>
          </w:p>
          <w:p>
            <w:pPr>
              <w:spacing w:line="360" w:lineRule="auto"/>
              <w:ind w:right="195" w:rightChars="93"/>
              <w:rPr>
                <w:rFonts w:ascii="宋体" w:hAnsi="宋体" w:cs="宋体"/>
              </w:rPr>
            </w:pPr>
            <w:r>
              <w:rPr>
                <w:rFonts w:hint="eastAsia" w:ascii="宋体" w:hAnsi="宋体" w:cs="宋体"/>
              </w:rPr>
              <w:t>附图五：建设项目生态红线图</w:t>
            </w:r>
          </w:p>
          <w:p>
            <w:pPr>
              <w:spacing w:line="360" w:lineRule="auto"/>
              <w:ind w:right="195" w:rightChars="93"/>
              <w:rPr>
                <w:rFonts w:ascii="宋体" w:hAnsi="宋体" w:cs="宋体"/>
              </w:rPr>
            </w:pPr>
            <w:r>
              <w:rPr>
                <w:rFonts w:hint="eastAsia" w:ascii="宋体" w:hAnsi="宋体" w:cs="宋体"/>
              </w:rPr>
              <w:t>附图六：建设项目现场勘探图</w:t>
            </w:r>
          </w:p>
          <w:p>
            <w:pPr>
              <w:spacing w:line="360" w:lineRule="auto"/>
              <w:ind w:right="195" w:rightChars="93"/>
              <w:rPr>
                <w:rFonts w:hint="eastAsia" w:ascii="宋体" w:hAnsi="宋体" w:cs="宋体"/>
              </w:rPr>
            </w:pPr>
            <w:r>
              <w:rPr>
                <w:rFonts w:hint="eastAsia" w:ascii="宋体" w:hAnsi="宋体" w:cs="宋体"/>
              </w:rPr>
              <w:t>附图七：建设项目所在地规划图</w:t>
            </w:r>
          </w:p>
          <w:p>
            <w:pPr>
              <w:spacing w:line="360" w:lineRule="auto"/>
              <w:ind w:right="195" w:rightChars="93"/>
              <w:rPr>
                <w:rFonts w:ascii="宋体" w:hAnsi="宋体" w:cs="宋体"/>
              </w:rPr>
            </w:pPr>
            <w:r>
              <w:rPr>
                <w:rFonts w:hint="eastAsia" w:ascii="宋体" w:hAnsi="宋体" w:cs="宋体"/>
              </w:rPr>
              <w:t>附件一：营业执照</w:t>
            </w:r>
          </w:p>
          <w:p>
            <w:pPr>
              <w:spacing w:line="360" w:lineRule="auto"/>
              <w:ind w:right="195" w:rightChars="93"/>
              <w:rPr>
                <w:rFonts w:ascii="宋体" w:hAnsi="宋体" w:cs="宋体"/>
              </w:rPr>
            </w:pPr>
            <w:r>
              <w:rPr>
                <w:rFonts w:hint="eastAsia" w:ascii="宋体" w:hAnsi="宋体" w:cs="宋体"/>
              </w:rPr>
              <w:t>附件二：厂房租赁合同</w:t>
            </w:r>
          </w:p>
          <w:p>
            <w:pPr>
              <w:spacing w:line="360" w:lineRule="auto"/>
              <w:ind w:right="195" w:rightChars="93"/>
              <w:rPr>
                <w:rFonts w:ascii="宋体" w:hAnsi="宋体" w:cs="宋体"/>
              </w:rPr>
            </w:pPr>
            <w:r>
              <w:rPr>
                <w:rFonts w:hint="eastAsia" w:ascii="宋体" w:hAnsi="宋体" w:cs="宋体"/>
              </w:rPr>
              <w:t>附件三：红线图</w:t>
            </w:r>
          </w:p>
          <w:p>
            <w:pPr>
              <w:spacing w:line="360" w:lineRule="auto"/>
              <w:ind w:right="195" w:rightChars="93"/>
              <w:rPr>
                <w:rFonts w:ascii="宋体" w:hAnsi="宋体" w:cs="宋体"/>
              </w:rPr>
            </w:pPr>
            <w:r>
              <w:rPr>
                <w:rFonts w:hint="eastAsia" w:ascii="宋体" w:hAnsi="宋体" w:cs="宋体"/>
              </w:rPr>
              <w:t>附件四：发改委备案通知书</w:t>
            </w:r>
          </w:p>
          <w:p>
            <w:pPr>
              <w:spacing w:line="360" w:lineRule="auto"/>
              <w:ind w:right="195" w:rightChars="93"/>
              <w:rPr>
                <w:rFonts w:hint="eastAsia" w:ascii="宋体" w:hAnsi="宋体" w:cs="宋体"/>
              </w:rPr>
            </w:pPr>
            <w:r>
              <w:rPr>
                <w:rFonts w:hint="eastAsia" w:ascii="宋体" w:hAnsi="宋体" w:cs="宋体"/>
              </w:rPr>
              <w:t>附件五：建设单位承诺书</w:t>
            </w:r>
          </w:p>
          <w:p>
            <w:pPr>
              <w:numPr>
                <w:ilvl w:val="0"/>
                <w:numId w:val="10"/>
              </w:numPr>
              <w:spacing w:line="360" w:lineRule="auto"/>
              <w:ind w:left="0" w:right="195" w:rightChars="93"/>
              <w:rPr>
                <w:rFonts w:ascii="宋体" w:hAnsi="宋体" w:cs="宋体"/>
              </w:rPr>
            </w:pPr>
            <w:r>
              <w:rPr>
                <w:rFonts w:hint="eastAsia" w:ascii="宋体" w:hAnsi="宋体" w:cs="宋体"/>
              </w:rPr>
              <w:t>如果本报告表不能说明项目产生的污染及对环境造成的影响，应进行专项评价。根据建设项目的特点和当地环境特征，应选下列2项进行专项评价。</w:t>
            </w:r>
          </w:p>
          <w:p>
            <w:pPr>
              <w:numPr>
                <w:ilvl w:val="0"/>
                <w:numId w:val="11"/>
              </w:numPr>
              <w:spacing w:line="360" w:lineRule="auto"/>
              <w:ind w:left="0" w:right="195" w:rightChars="93"/>
              <w:rPr>
                <w:rFonts w:ascii="宋体" w:hAnsi="宋体" w:cs="宋体"/>
              </w:rPr>
            </w:pPr>
            <w:r>
              <w:rPr>
                <w:rFonts w:hint="eastAsia" w:ascii="宋体" w:hAnsi="宋体" w:cs="宋体"/>
              </w:rPr>
              <w:t>大气环境影响专项评价</w:t>
            </w:r>
          </w:p>
          <w:p>
            <w:pPr>
              <w:numPr>
                <w:ilvl w:val="0"/>
                <w:numId w:val="11"/>
              </w:numPr>
              <w:spacing w:line="360" w:lineRule="auto"/>
              <w:ind w:left="0" w:right="195" w:rightChars="93"/>
              <w:rPr>
                <w:rFonts w:ascii="宋体" w:hAnsi="宋体" w:cs="宋体"/>
              </w:rPr>
            </w:pPr>
            <w:r>
              <w:rPr>
                <w:rFonts w:hint="eastAsia" w:ascii="宋体" w:hAnsi="宋体" w:cs="宋体"/>
              </w:rPr>
              <w:t>水环境影响专项评价（包括地表水和地下水）</w:t>
            </w:r>
          </w:p>
          <w:p>
            <w:pPr>
              <w:numPr>
                <w:ilvl w:val="0"/>
                <w:numId w:val="11"/>
              </w:numPr>
              <w:spacing w:line="360" w:lineRule="auto"/>
              <w:ind w:left="0" w:right="195" w:rightChars="93"/>
              <w:rPr>
                <w:rFonts w:ascii="宋体" w:hAnsi="宋体" w:cs="宋体"/>
              </w:rPr>
            </w:pPr>
            <w:r>
              <w:rPr>
                <w:rFonts w:hint="eastAsia" w:ascii="宋体" w:hAnsi="宋体" w:cs="宋体"/>
              </w:rPr>
              <w:t>生态环境影响专项评价</w:t>
            </w:r>
          </w:p>
          <w:p>
            <w:pPr>
              <w:numPr>
                <w:ilvl w:val="0"/>
                <w:numId w:val="11"/>
              </w:numPr>
              <w:spacing w:line="360" w:lineRule="auto"/>
              <w:ind w:left="0" w:right="195" w:rightChars="93"/>
              <w:rPr>
                <w:rFonts w:ascii="宋体" w:hAnsi="宋体" w:cs="宋体"/>
              </w:rPr>
            </w:pPr>
            <w:r>
              <w:rPr>
                <w:rFonts w:hint="eastAsia" w:ascii="宋体" w:hAnsi="宋体" w:cs="宋体"/>
              </w:rPr>
              <w:t>声影响专项评价</w:t>
            </w:r>
          </w:p>
          <w:p>
            <w:pPr>
              <w:numPr>
                <w:ilvl w:val="0"/>
                <w:numId w:val="11"/>
              </w:numPr>
              <w:spacing w:line="360" w:lineRule="auto"/>
              <w:ind w:left="0" w:right="195" w:rightChars="93"/>
              <w:rPr>
                <w:rFonts w:ascii="宋体" w:hAnsi="宋体" w:cs="宋体"/>
              </w:rPr>
            </w:pPr>
            <w:r>
              <w:rPr>
                <w:rFonts w:hint="eastAsia" w:ascii="宋体" w:hAnsi="宋体" w:cs="宋体"/>
              </w:rPr>
              <w:t>土壤影响专项评价</w:t>
            </w:r>
          </w:p>
          <w:p>
            <w:pPr>
              <w:numPr>
                <w:ilvl w:val="0"/>
                <w:numId w:val="11"/>
              </w:numPr>
              <w:spacing w:line="360" w:lineRule="auto"/>
              <w:ind w:left="0" w:right="195" w:rightChars="93"/>
              <w:rPr>
                <w:rFonts w:ascii="宋体" w:hAnsi="宋体" w:cs="宋体"/>
              </w:rPr>
            </w:pPr>
            <w:r>
              <w:rPr>
                <w:rFonts w:hint="eastAsia" w:ascii="宋体" w:hAnsi="宋体" w:cs="宋体"/>
              </w:rPr>
              <w:t>固体废弃物影响专项评价</w:t>
            </w:r>
          </w:p>
          <w:p>
            <w:pPr>
              <w:numPr>
                <w:ilvl w:val="0"/>
                <w:numId w:val="11"/>
              </w:numPr>
              <w:spacing w:line="360" w:lineRule="auto"/>
              <w:ind w:left="0" w:right="195" w:rightChars="93"/>
              <w:rPr>
                <w:rFonts w:ascii="宋体" w:hAnsi="宋体" w:cs="宋体"/>
              </w:rPr>
            </w:pPr>
            <w:r>
              <w:rPr>
                <w:rFonts w:hint="eastAsia" w:ascii="宋体" w:hAnsi="宋体" w:cs="宋体"/>
              </w:rPr>
              <w:t>辐射环境影响专项评价（包括电离辐射和电磁辐射）</w:t>
            </w:r>
          </w:p>
          <w:p>
            <w:pPr>
              <w:spacing w:line="360" w:lineRule="auto"/>
              <w:ind w:right="195" w:rightChars="93" w:firstLine="420" w:firstLineChars="200"/>
              <w:jc w:val="left"/>
              <w:rPr>
                <w:color w:val="FF0000"/>
                <w:sz w:val="24"/>
              </w:rPr>
            </w:pPr>
            <w:r>
              <w:rPr>
                <w:rFonts w:hint="eastAsia" w:ascii="宋体" w:hAnsi="宋体" w:cs="宋体"/>
              </w:rPr>
              <w:t>以上专项评价未包括的可另列专项，专项评价按照《环境影响评价技术导则》中的要求进行。</w:t>
            </w:r>
          </w:p>
        </w:tc>
      </w:tr>
    </w:tbl>
    <w:p>
      <w:pPr>
        <w:jc w:val="both"/>
        <w:rPr>
          <w:rFonts w:hint="default"/>
          <w:lang w:val="en-US" w:eastAsia="zh-CN"/>
        </w:rPr>
      </w:pPr>
      <w:bookmarkStart w:id="3" w:name="_GoBack"/>
      <w:bookmarkEnd w:id="3"/>
    </w:p>
    <w:sectPr>
      <w:footerReference r:id="rId8" w:type="default"/>
      <w:pgSz w:w="16838" w:h="11906" w:orient="landscape"/>
      <w:pgMar w:top="1531" w:right="1701" w:bottom="1531" w:left="1701" w:header="851" w:footer="85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rial Black">
    <w:panose1 w:val="020B0A04020102020204"/>
    <w:charset w:val="00"/>
    <w:family w:val="swiss"/>
    <w:pitch w:val="default"/>
    <w:sig w:usb0="A00002AF" w:usb1="400078FB" w:usb2="00000000" w:usb3="00000000" w:csb0="6000009F" w:csb1="DFD7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2000000000000000000"/>
    <w:charset w:val="86"/>
    <w:family w:val="script"/>
    <w:pitch w:val="default"/>
    <w:sig w:usb0="00000000" w:usb1="00000000" w:usb2="00000016"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Wingdings 2">
    <w:altName w:val="Wingdings"/>
    <w:panose1 w:val="05020102010507070707"/>
    <w:charset w:val="02"/>
    <w:family w:val="roman"/>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outside" w:y="1"/>
      <w:rPr>
        <w:rStyle w:val="41"/>
        <w:rFonts w:ascii="宋体" w:hAnsi="宋体"/>
        <w:sz w:val="28"/>
        <w:szCs w:val="28"/>
      </w:rPr>
    </w:pPr>
  </w:p>
  <w:p>
    <w:pPr>
      <w:pStyle w:val="23"/>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41"/>
      </w:rPr>
    </w:pPr>
    <w:r>
      <w:fldChar w:fldCharType="begin"/>
    </w:r>
    <w:r>
      <w:rPr>
        <w:rStyle w:val="41"/>
      </w:rPr>
      <w:instrText xml:space="preserve">PAGE  </w:instrText>
    </w:r>
    <w:r>
      <w:fldChar w:fldCharType="end"/>
    </w:r>
  </w:p>
  <w:p>
    <w:pPr>
      <w:pStyle w:val="2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outside" w:y="1"/>
      <w:rPr>
        <w:rStyle w:val="41"/>
        <w:rFonts w:ascii="宋体" w:hAnsi="宋体"/>
        <w:sz w:val="28"/>
        <w:szCs w:val="28"/>
      </w:rPr>
    </w:pPr>
    <w:r>
      <w:rPr>
        <w:rStyle w:val="41"/>
        <w:rFonts w:hint="eastAsia" w:ascii="宋体" w:hAnsi="宋体"/>
        <w:sz w:val="28"/>
        <w:szCs w:val="28"/>
      </w:rPr>
      <w:t>—</w:t>
    </w:r>
    <w:r>
      <w:rPr>
        <w:rFonts w:ascii="宋体" w:hAnsi="宋体"/>
        <w:sz w:val="26"/>
        <w:szCs w:val="26"/>
      </w:rPr>
      <w:fldChar w:fldCharType="begin"/>
    </w:r>
    <w:r>
      <w:rPr>
        <w:rStyle w:val="41"/>
        <w:rFonts w:ascii="宋体" w:hAnsi="宋体"/>
        <w:sz w:val="26"/>
        <w:szCs w:val="26"/>
      </w:rPr>
      <w:instrText xml:space="preserve">PAGE  </w:instrText>
    </w:r>
    <w:r>
      <w:rPr>
        <w:rFonts w:ascii="宋体" w:hAnsi="宋体"/>
        <w:sz w:val="26"/>
        <w:szCs w:val="26"/>
      </w:rPr>
      <w:fldChar w:fldCharType="separate"/>
    </w:r>
    <w:r>
      <w:rPr>
        <w:rStyle w:val="41"/>
        <w:rFonts w:ascii="宋体" w:hAnsi="宋体"/>
        <w:sz w:val="26"/>
        <w:szCs w:val="26"/>
      </w:rPr>
      <w:t>72</w:t>
    </w:r>
    <w:r>
      <w:rPr>
        <w:rFonts w:ascii="宋体" w:hAnsi="宋体"/>
        <w:sz w:val="26"/>
        <w:szCs w:val="26"/>
      </w:rPr>
      <w:fldChar w:fldCharType="end"/>
    </w:r>
    <w:r>
      <w:rPr>
        <w:rStyle w:val="41"/>
        <w:rFonts w:hint="eastAsia" w:ascii="宋体" w:hAnsi="宋体"/>
        <w:sz w:val="28"/>
        <w:szCs w:val="28"/>
      </w:rPr>
      <w:t>—</w:t>
    </w:r>
  </w:p>
  <w:p>
    <w:pPr>
      <w:pStyle w:val="23"/>
      <w:ind w:right="360" w:firstLine="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41"/>
        <w:rFonts w:ascii="宋体" w:hAnsi="宋体"/>
        <w:sz w:val="28"/>
        <w:szCs w:val="28"/>
      </w:rPr>
    </w:pPr>
    <w:r>
      <w:rPr>
        <w:rStyle w:val="41"/>
        <w:rFonts w:hint="eastAsia" w:ascii="宋体" w:hAnsi="宋体"/>
        <w:sz w:val="28"/>
        <w:szCs w:val="28"/>
      </w:rPr>
      <w:t>—</w:t>
    </w:r>
    <w:r>
      <w:rPr>
        <w:rFonts w:ascii="宋体" w:hAnsi="宋体"/>
        <w:sz w:val="26"/>
        <w:szCs w:val="26"/>
      </w:rPr>
      <w:fldChar w:fldCharType="begin"/>
    </w:r>
    <w:r>
      <w:rPr>
        <w:rStyle w:val="41"/>
        <w:rFonts w:ascii="宋体" w:hAnsi="宋体"/>
        <w:sz w:val="26"/>
        <w:szCs w:val="26"/>
      </w:rPr>
      <w:instrText xml:space="preserve">PAGE  </w:instrText>
    </w:r>
    <w:r>
      <w:rPr>
        <w:rFonts w:ascii="宋体" w:hAnsi="宋体"/>
        <w:sz w:val="26"/>
        <w:szCs w:val="26"/>
      </w:rPr>
      <w:fldChar w:fldCharType="separate"/>
    </w:r>
    <w:r>
      <w:rPr>
        <w:rStyle w:val="41"/>
        <w:rFonts w:ascii="宋体" w:hAnsi="宋体"/>
        <w:sz w:val="26"/>
        <w:szCs w:val="26"/>
      </w:rPr>
      <w:t>73</w:t>
    </w:r>
    <w:r>
      <w:rPr>
        <w:rFonts w:ascii="宋体" w:hAnsi="宋体"/>
        <w:sz w:val="26"/>
        <w:szCs w:val="26"/>
      </w:rPr>
      <w:fldChar w:fldCharType="end"/>
    </w:r>
    <w:r>
      <w:rPr>
        <w:rStyle w:val="41"/>
        <w:rFonts w:hint="eastAsia" w:ascii="宋体" w:hAnsi="宋体"/>
        <w:sz w:val="28"/>
        <w:szCs w:val="28"/>
      </w:rPr>
      <w:t>—</w:t>
    </w:r>
  </w:p>
  <w:p>
    <w:pPr>
      <w:pStyle w:val="23"/>
      <w:ind w:right="360" w:firstLine="360"/>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outside" w:y="1"/>
      <w:rPr>
        <w:rStyle w:val="41"/>
        <w:rFonts w:ascii="宋体" w:hAnsi="宋体"/>
        <w:sz w:val="28"/>
        <w:szCs w:val="28"/>
      </w:rPr>
    </w:pPr>
    <w:r>
      <w:rPr>
        <w:rStyle w:val="41"/>
        <w:rFonts w:hint="eastAsia" w:ascii="宋体" w:hAnsi="宋体"/>
        <w:sz w:val="28"/>
        <w:szCs w:val="28"/>
      </w:rPr>
      <w:t>—</w:t>
    </w:r>
    <w:r>
      <w:rPr>
        <w:rFonts w:ascii="宋体" w:hAnsi="宋体"/>
        <w:sz w:val="26"/>
        <w:szCs w:val="26"/>
      </w:rPr>
      <w:fldChar w:fldCharType="begin"/>
    </w:r>
    <w:r>
      <w:rPr>
        <w:rStyle w:val="41"/>
        <w:rFonts w:ascii="宋体" w:hAnsi="宋体"/>
        <w:sz w:val="26"/>
        <w:szCs w:val="26"/>
      </w:rPr>
      <w:instrText xml:space="preserve">PAGE  </w:instrText>
    </w:r>
    <w:r>
      <w:rPr>
        <w:rFonts w:ascii="宋体" w:hAnsi="宋体"/>
        <w:sz w:val="26"/>
        <w:szCs w:val="26"/>
      </w:rPr>
      <w:fldChar w:fldCharType="separate"/>
    </w:r>
    <w:r>
      <w:rPr>
        <w:rStyle w:val="41"/>
        <w:rFonts w:ascii="宋体" w:hAnsi="宋体"/>
        <w:sz w:val="26"/>
        <w:szCs w:val="26"/>
      </w:rPr>
      <w:t>76</w:t>
    </w:r>
    <w:r>
      <w:rPr>
        <w:rFonts w:ascii="宋体" w:hAnsi="宋体"/>
        <w:sz w:val="26"/>
        <w:szCs w:val="26"/>
      </w:rPr>
      <w:fldChar w:fldCharType="end"/>
    </w:r>
    <w:r>
      <w:rPr>
        <w:rStyle w:val="41"/>
        <w:rFonts w:hint="eastAsia" w:ascii="宋体" w:hAnsi="宋体"/>
        <w:sz w:val="28"/>
        <w:szCs w:val="28"/>
      </w:rPr>
      <w:t>—</w:t>
    </w:r>
  </w:p>
  <w:p>
    <w:pPr>
      <w:pStyle w:val="23"/>
      <w:ind w:right="360" w:firstLine="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3AFF9"/>
    <w:multiLevelType w:val="singleLevel"/>
    <w:tmpl w:val="8973AFF9"/>
    <w:lvl w:ilvl="0" w:tentative="0">
      <w:start w:val="3"/>
      <w:numFmt w:val="decimal"/>
      <w:lvlText w:val="%1."/>
      <w:lvlJc w:val="left"/>
      <w:pPr>
        <w:tabs>
          <w:tab w:val="left" w:pos="312"/>
        </w:tabs>
      </w:pPr>
    </w:lvl>
  </w:abstractNum>
  <w:abstractNum w:abstractNumId="1">
    <w:nsid w:val="A38AE9E7"/>
    <w:multiLevelType w:val="singleLevel"/>
    <w:tmpl w:val="A38AE9E7"/>
    <w:lvl w:ilvl="0" w:tentative="0">
      <w:start w:val="5"/>
      <w:numFmt w:val="decimal"/>
      <w:suff w:val="nothing"/>
      <w:lvlText w:val="（%1）"/>
      <w:lvlJc w:val="left"/>
    </w:lvl>
  </w:abstractNum>
  <w:abstractNum w:abstractNumId="2">
    <w:nsid w:val="E85D244E"/>
    <w:multiLevelType w:val="singleLevel"/>
    <w:tmpl w:val="E85D244E"/>
    <w:lvl w:ilvl="0" w:tentative="0">
      <w:start w:val="1"/>
      <w:numFmt w:val="bullet"/>
      <w:pStyle w:val="17"/>
      <w:lvlText w:val=""/>
      <w:lvlJc w:val="left"/>
      <w:pPr>
        <w:tabs>
          <w:tab w:val="left" w:pos="2040"/>
        </w:tabs>
        <w:ind w:left="2040" w:hanging="360"/>
      </w:pPr>
      <w:rPr>
        <w:rFonts w:hint="default" w:ascii="Wingdings" w:hAnsi="Wingdings"/>
      </w:rPr>
    </w:lvl>
  </w:abstractNum>
  <w:abstractNum w:abstractNumId="3">
    <w:nsid w:val="10CCE4B4"/>
    <w:multiLevelType w:val="singleLevel"/>
    <w:tmpl w:val="10CCE4B4"/>
    <w:lvl w:ilvl="0" w:tentative="0">
      <w:start w:val="4"/>
      <w:numFmt w:val="decimal"/>
      <w:suff w:val="nothing"/>
      <w:lvlText w:val="%1、"/>
      <w:lvlJc w:val="left"/>
    </w:lvl>
  </w:abstractNum>
  <w:abstractNum w:abstractNumId="4">
    <w:nsid w:val="21156AC5"/>
    <w:multiLevelType w:val="singleLevel"/>
    <w:tmpl w:val="21156AC5"/>
    <w:lvl w:ilvl="0" w:tentative="0">
      <w:start w:val="1"/>
      <w:numFmt w:val="decimal"/>
      <w:lvlText w:val="%1．"/>
      <w:lvlJc w:val="left"/>
      <w:pPr>
        <w:tabs>
          <w:tab w:val="left" w:pos="948"/>
        </w:tabs>
        <w:ind w:left="948" w:hanging="312"/>
      </w:pPr>
      <w:rPr>
        <w:rFonts w:hint="eastAsia"/>
      </w:rPr>
    </w:lvl>
  </w:abstractNum>
  <w:abstractNum w:abstractNumId="5">
    <w:nsid w:val="32679379"/>
    <w:multiLevelType w:val="singleLevel"/>
    <w:tmpl w:val="32679379"/>
    <w:lvl w:ilvl="0" w:tentative="0">
      <w:start w:val="4"/>
      <w:numFmt w:val="chineseCounting"/>
      <w:suff w:val="nothing"/>
      <w:lvlText w:val="（%1）"/>
      <w:lvlJc w:val="left"/>
      <w:rPr>
        <w:rFonts w:hint="eastAsia"/>
      </w:rPr>
    </w:lvl>
  </w:abstractNum>
  <w:abstractNum w:abstractNumId="6">
    <w:nsid w:val="445C662A"/>
    <w:multiLevelType w:val="singleLevel"/>
    <w:tmpl w:val="445C662A"/>
    <w:lvl w:ilvl="0" w:tentative="0">
      <w:start w:val="1"/>
      <w:numFmt w:val="decimal"/>
      <w:suff w:val="nothing"/>
      <w:lvlText w:val="（%1）"/>
      <w:lvlJc w:val="left"/>
      <w:pPr>
        <w:ind w:left="-510"/>
      </w:pPr>
    </w:lvl>
  </w:abstractNum>
  <w:abstractNum w:abstractNumId="7">
    <w:nsid w:val="4E4F1C70"/>
    <w:multiLevelType w:val="singleLevel"/>
    <w:tmpl w:val="4E4F1C70"/>
    <w:lvl w:ilvl="0" w:tentative="0">
      <w:start w:val="3"/>
      <w:numFmt w:val="decimal"/>
      <w:suff w:val="nothing"/>
      <w:lvlText w:val="%1）"/>
      <w:lvlJc w:val="left"/>
    </w:lvl>
  </w:abstractNum>
  <w:abstractNum w:abstractNumId="8">
    <w:nsid w:val="5B9A7026"/>
    <w:multiLevelType w:val="singleLevel"/>
    <w:tmpl w:val="5B9A7026"/>
    <w:lvl w:ilvl="0" w:tentative="0">
      <w:start w:val="1"/>
      <w:numFmt w:val="japaneseCounting"/>
      <w:lvlText w:val="%1、"/>
      <w:lvlJc w:val="left"/>
      <w:pPr>
        <w:tabs>
          <w:tab w:val="left" w:pos="984"/>
        </w:tabs>
        <w:ind w:left="984" w:hanging="420"/>
      </w:pPr>
      <w:rPr>
        <w:rFonts w:hint="eastAsia"/>
      </w:rPr>
    </w:lvl>
  </w:abstractNum>
  <w:abstractNum w:abstractNumId="9">
    <w:nsid w:val="63C08206"/>
    <w:multiLevelType w:val="singleLevel"/>
    <w:tmpl w:val="63C08206"/>
    <w:lvl w:ilvl="0" w:tentative="0">
      <w:start w:val="8"/>
      <w:numFmt w:val="decimal"/>
      <w:suff w:val="nothing"/>
      <w:lvlText w:val="%1、"/>
      <w:lvlJc w:val="left"/>
    </w:lvl>
  </w:abstractNum>
  <w:abstractNum w:abstractNumId="10">
    <w:nsid w:val="7FF1B736"/>
    <w:multiLevelType w:val="singleLevel"/>
    <w:tmpl w:val="7FF1B736"/>
    <w:lvl w:ilvl="0" w:tentative="0">
      <w:start w:val="1"/>
      <w:numFmt w:val="decimal"/>
      <w:suff w:val="nothing"/>
      <w:lvlText w:val="%1、"/>
      <w:lvlJc w:val="left"/>
    </w:lvl>
  </w:abstractNum>
  <w:num w:numId="1">
    <w:abstractNumId w:val="2"/>
  </w:num>
  <w:num w:numId="2">
    <w:abstractNumId w:val="9"/>
  </w:num>
  <w:num w:numId="3">
    <w:abstractNumId w:val="5"/>
  </w:num>
  <w:num w:numId="4">
    <w:abstractNumId w:val="6"/>
  </w:num>
  <w:num w:numId="5">
    <w:abstractNumId w:val="0"/>
  </w:num>
  <w:num w:numId="6">
    <w:abstractNumId w:val="10"/>
  </w:num>
  <w:num w:numId="7">
    <w:abstractNumId w:val="3"/>
  </w:num>
  <w:num w:numId="8">
    <w:abstractNumId w:val="1"/>
  </w:num>
  <w:num w:numId="9">
    <w:abstractNumId w:val="7"/>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xMDkwNzJhNzkyZTZmYzlkOTc3ZDA5NmU1MDgxNTIifQ=="/>
    <w:docVar w:name="KSO_WPS_MARK_KEY" w:val="7d2c46a0-4482-4c6e-a66c-bcb475eedd17"/>
  </w:docVars>
  <w:rsids>
    <w:rsidRoot w:val="00172A27"/>
    <w:rsid w:val="000000A7"/>
    <w:rsid w:val="000006D5"/>
    <w:rsid w:val="00000BDD"/>
    <w:rsid w:val="00001ADE"/>
    <w:rsid w:val="0000200C"/>
    <w:rsid w:val="00002379"/>
    <w:rsid w:val="0000262F"/>
    <w:rsid w:val="00003E30"/>
    <w:rsid w:val="000060B3"/>
    <w:rsid w:val="00006A56"/>
    <w:rsid w:val="0000706C"/>
    <w:rsid w:val="000073E5"/>
    <w:rsid w:val="00011937"/>
    <w:rsid w:val="000129B4"/>
    <w:rsid w:val="0001333A"/>
    <w:rsid w:val="000141B9"/>
    <w:rsid w:val="00014246"/>
    <w:rsid w:val="00014915"/>
    <w:rsid w:val="000152AC"/>
    <w:rsid w:val="0001591D"/>
    <w:rsid w:val="00015CBF"/>
    <w:rsid w:val="00016C70"/>
    <w:rsid w:val="00020961"/>
    <w:rsid w:val="00020FA6"/>
    <w:rsid w:val="00022AFB"/>
    <w:rsid w:val="00022E28"/>
    <w:rsid w:val="00023CB0"/>
    <w:rsid w:val="00025757"/>
    <w:rsid w:val="00025AEF"/>
    <w:rsid w:val="00025BD9"/>
    <w:rsid w:val="00025C1F"/>
    <w:rsid w:val="00025FEE"/>
    <w:rsid w:val="0002701B"/>
    <w:rsid w:val="00030761"/>
    <w:rsid w:val="00032456"/>
    <w:rsid w:val="00032E89"/>
    <w:rsid w:val="0003418E"/>
    <w:rsid w:val="00035DD0"/>
    <w:rsid w:val="000369A0"/>
    <w:rsid w:val="0003736C"/>
    <w:rsid w:val="0003751E"/>
    <w:rsid w:val="00040C83"/>
    <w:rsid w:val="00041DA2"/>
    <w:rsid w:val="000423BF"/>
    <w:rsid w:val="00042B7A"/>
    <w:rsid w:val="0004364B"/>
    <w:rsid w:val="00044C32"/>
    <w:rsid w:val="000453D7"/>
    <w:rsid w:val="00045C88"/>
    <w:rsid w:val="00047F42"/>
    <w:rsid w:val="00050C3E"/>
    <w:rsid w:val="00050C7F"/>
    <w:rsid w:val="00053565"/>
    <w:rsid w:val="000552EC"/>
    <w:rsid w:val="0005620B"/>
    <w:rsid w:val="00056300"/>
    <w:rsid w:val="0006061B"/>
    <w:rsid w:val="00060875"/>
    <w:rsid w:val="00060AB6"/>
    <w:rsid w:val="00060E3E"/>
    <w:rsid w:val="00061B1F"/>
    <w:rsid w:val="0006403D"/>
    <w:rsid w:val="0006491B"/>
    <w:rsid w:val="00064975"/>
    <w:rsid w:val="00065CF5"/>
    <w:rsid w:val="00066C03"/>
    <w:rsid w:val="0006745E"/>
    <w:rsid w:val="00072C34"/>
    <w:rsid w:val="000733C4"/>
    <w:rsid w:val="00073850"/>
    <w:rsid w:val="00074783"/>
    <w:rsid w:val="000749B7"/>
    <w:rsid w:val="000754B4"/>
    <w:rsid w:val="00075AB8"/>
    <w:rsid w:val="00076523"/>
    <w:rsid w:val="000769AB"/>
    <w:rsid w:val="00077C5A"/>
    <w:rsid w:val="000802F3"/>
    <w:rsid w:val="0008070B"/>
    <w:rsid w:val="000810AC"/>
    <w:rsid w:val="00081A02"/>
    <w:rsid w:val="00082231"/>
    <w:rsid w:val="0008339D"/>
    <w:rsid w:val="00083C50"/>
    <w:rsid w:val="00084074"/>
    <w:rsid w:val="000841C1"/>
    <w:rsid w:val="000852BD"/>
    <w:rsid w:val="00085555"/>
    <w:rsid w:val="00085EE0"/>
    <w:rsid w:val="00086587"/>
    <w:rsid w:val="00090759"/>
    <w:rsid w:val="00091159"/>
    <w:rsid w:val="00092076"/>
    <w:rsid w:val="000921DC"/>
    <w:rsid w:val="00092D38"/>
    <w:rsid w:val="000931CE"/>
    <w:rsid w:val="0009377B"/>
    <w:rsid w:val="00093EF6"/>
    <w:rsid w:val="00093FDB"/>
    <w:rsid w:val="0009417F"/>
    <w:rsid w:val="000947C7"/>
    <w:rsid w:val="0009682E"/>
    <w:rsid w:val="000A20C9"/>
    <w:rsid w:val="000A25BC"/>
    <w:rsid w:val="000A2C46"/>
    <w:rsid w:val="000A3097"/>
    <w:rsid w:val="000A3F33"/>
    <w:rsid w:val="000A4026"/>
    <w:rsid w:val="000A5D60"/>
    <w:rsid w:val="000A7326"/>
    <w:rsid w:val="000A7A4E"/>
    <w:rsid w:val="000B058F"/>
    <w:rsid w:val="000B1158"/>
    <w:rsid w:val="000B11C4"/>
    <w:rsid w:val="000B1CFE"/>
    <w:rsid w:val="000B2E13"/>
    <w:rsid w:val="000B2F60"/>
    <w:rsid w:val="000B4467"/>
    <w:rsid w:val="000B4DB9"/>
    <w:rsid w:val="000B51A6"/>
    <w:rsid w:val="000B5FA0"/>
    <w:rsid w:val="000B7782"/>
    <w:rsid w:val="000B77FB"/>
    <w:rsid w:val="000C0457"/>
    <w:rsid w:val="000C09AC"/>
    <w:rsid w:val="000C0D09"/>
    <w:rsid w:val="000C138C"/>
    <w:rsid w:val="000C171F"/>
    <w:rsid w:val="000C2A55"/>
    <w:rsid w:val="000C3FAB"/>
    <w:rsid w:val="000C44C5"/>
    <w:rsid w:val="000C461D"/>
    <w:rsid w:val="000C6DCB"/>
    <w:rsid w:val="000C7667"/>
    <w:rsid w:val="000C767F"/>
    <w:rsid w:val="000C7CD6"/>
    <w:rsid w:val="000C7E7A"/>
    <w:rsid w:val="000D0807"/>
    <w:rsid w:val="000D2001"/>
    <w:rsid w:val="000D3823"/>
    <w:rsid w:val="000D415D"/>
    <w:rsid w:val="000D5833"/>
    <w:rsid w:val="000D5A44"/>
    <w:rsid w:val="000D70C9"/>
    <w:rsid w:val="000E03EF"/>
    <w:rsid w:val="000E057E"/>
    <w:rsid w:val="000E175B"/>
    <w:rsid w:val="000E1FC4"/>
    <w:rsid w:val="000E294D"/>
    <w:rsid w:val="000E2A06"/>
    <w:rsid w:val="000E3ED2"/>
    <w:rsid w:val="000E3F13"/>
    <w:rsid w:val="000E4063"/>
    <w:rsid w:val="000E4EB2"/>
    <w:rsid w:val="000E5025"/>
    <w:rsid w:val="000E7D8E"/>
    <w:rsid w:val="000F05F3"/>
    <w:rsid w:val="000F18CD"/>
    <w:rsid w:val="000F1DA7"/>
    <w:rsid w:val="000F28D6"/>
    <w:rsid w:val="000F2E82"/>
    <w:rsid w:val="000F2EF1"/>
    <w:rsid w:val="000F4144"/>
    <w:rsid w:val="000F4336"/>
    <w:rsid w:val="000F6015"/>
    <w:rsid w:val="00100460"/>
    <w:rsid w:val="0010242C"/>
    <w:rsid w:val="00105F28"/>
    <w:rsid w:val="00106EB4"/>
    <w:rsid w:val="00106EF5"/>
    <w:rsid w:val="00111063"/>
    <w:rsid w:val="0011143A"/>
    <w:rsid w:val="001115EF"/>
    <w:rsid w:val="001129DA"/>
    <w:rsid w:val="00113D03"/>
    <w:rsid w:val="001150C0"/>
    <w:rsid w:val="0011519A"/>
    <w:rsid w:val="0011520B"/>
    <w:rsid w:val="0011547B"/>
    <w:rsid w:val="00115BFF"/>
    <w:rsid w:val="00117429"/>
    <w:rsid w:val="001203D5"/>
    <w:rsid w:val="00122206"/>
    <w:rsid w:val="001247EC"/>
    <w:rsid w:val="00124B7F"/>
    <w:rsid w:val="001252B0"/>
    <w:rsid w:val="00125505"/>
    <w:rsid w:val="00125973"/>
    <w:rsid w:val="00127928"/>
    <w:rsid w:val="001301E6"/>
    <w:rsid w:val="00131F42"/>
    <w:rsid w:val="001357F1"/>
    <w:rsid w:val="00136F96"/>
    <w:rsid w:val="00140FA8"/>
    <w:rsid w:val="00141EB2"/>
    <w:rsid w:val="001424BD"/>
    <w:rsid w:val="00142FEB"/>
    <w:rsid w:val="00143A2D"/>
    <w:rsid w:val="00145A41"/>
    <w:rsid w:val="0014614A"/>
    <w:rsid w:val="0014636B"/>
    <w:rsid w:val="00146B25"/>
    <w:rsid w:val="00147850"/>
    <w:rsid w:val="001479B1"/>
    <w:rsid w:val="00147A8B"/>
    <w:rsid w:val="00147C33"/>
    <w:rsid w:val="00150A0A"/>
    <w:rsid w:val="00150EAD"/>
    <w:rsid w:val="0015145E"/>
    <w:rsid w:val="00151675"/>
    <w:rsid w:val="00151FF3"/>
    <w:rsid w:val="001523D4"/>
    <w:rsid w:val="00152C86"/>
    <w:rsid w:val="00152EE2"/>
    <w:rsid w:val="001537A1"/>
    <w:rsid w:val="00153938"/>
    <w:rsid w:val="00156B97"/>
    <w:rsid w:val="00156EE0"/>
    <w:rsid w:val="001572C7"/>
    <w:rsid w:val="00157435"/>
    <w:rsid w:val="0015772F"/>
    <w:rsid w:val="00157AED"/>
    <w:rsid w:val="00160E15"/>
    <w:rsid w:val="00161A83"/>
    <w:rsid w:val="00162E63"/>
    <w:rsid w:val="00163843"/>
    <w:rsid w:val="00164C26"/>
    <w:rsid w:val="0016564C"/>
    <w:rsid w:val="00166871"/>
    <w:rsid w:val="00167F18"/>
    <w:rsid w:val="0017236D"/>
    <w:rsid w:val="0017279D"/>
    <w:rsid w:val="0017504D"/>
    <w:rsid w:val="001760C2"/>
    <w:rsid w:val="0017671A"/>
    <w:rsid w:val="00177422"/>
    <w:rsid w:val="00180C5A"/>
    <w:rsid w:val="00181BA2"/>
    <w:rsid w:val="00182298"/>
    <w:rsid w:val="001835CA"/>
    <w:rsid w:val="001839D1"/>
    <w:rsid w:val="00183E8B"/>
    <w:rsid w:val="00184590"/>
    <w:rsid w:val="00184A3D"/>
    <w:rsid w:val="00184D5C"/>
    <w:rsid w:val="001850BD"/>
    <w:rsid w:val="001870D1"/>
    <w:rsid w:val="00187601"/>
    <w:rsid w:val="0018781E"/>
    <w:rsid w:val="0019017C"/>
    <w:rsid w:val="0019097C"/>
    <w:rsid w:val="0019220E"/>
    <w:rsid w:val="0019262D"/>
    <w:rsid w:val="0019271F"/>
    <w:rsid w:val="00193396"/>
    <w:rsid w:val="0019498C"/>
    <w:rsid w:val="00194991"/>
    <w:rsid w:val="00196B67"/>
    <w:rsid w:val="00196C6F"/>
    <w:rsid w:val="00196CB6"/>
    <w:rsid w:val="00197174"/>
    <w:rsid w:val="001973EF"/>
    <w:rsid w:val="00197FFD"/>
    <w:rsid w:val="001A0EF0"/>
    <w:rsid w:val="001A1116"/>
    <w:rsid w:val="001A1B35"/>
    <w:rsid w:val="001A334D"/>
    <w:rsid w:val="001A48A2"/>
    <w:rsid w:val="001A5CCD"/>
    <w:rsid w:val="001A613F"/>
    <w:rsid w:val="001A6F61"/>
    <w:rsid w:val="001B051C"/>
    <w:rsid w:val="001B1360"/>
    <w:rsid w:val="001B2BDB"/>
    <w:rsid w:val="001B2F61"/>
    <w:rsid w:val="001B72B8"/>
    <w:rsid w:val="001B7F1D"/>
    <w:rsid w:val="001C018A"/>
    <w:rsid w:val="001C0A0A"/>
    <w:rsid w:val="001C2E15"/>
    <w:rsid w:val="001C39E5"/>
    <w:rsid w:val="001C3B42"/>
    <w:rsid w:val="001C3D47"/>
    <w:rsid w:val="001C3D68"/>
    <w:rsid w:val="001C4486"/>
    <w:rsid w:val="001C4721"/>
    <w:rsid w:val="001C548C"/>
    <w:rsid w:val="001C6715"/>
    <w:rsid w:val="001C69B3"/>
    <w:rsid w:val="001D298B"/>
    <w:rsid w:val="001D299B"/>
    <w:rsid w:val="001D2B02"/>
    <w:rsid w:val="001D35D2"/>
    <w:rsid w:val="001D40FD"/>
    <w:rsid w:val="001D43E9"/>
    <w:rsid w:val="001D530F"/>
    <w:rsid w:val="001D5595"/>
    <w:rsid w:val="001D6683"/>
    <w:rsid w:val="001D6C7F"/>
    <w:rsid w:val="001D6EFD"/>
    <w:rsid w:val="001D7874"/>
    <w:rsid w:val="001D7C15"/>
    <w:rsid w:val="001D7F22"/>
    <w:rsid w:val="001E07E9"/>
    <w:rsid w:val="001E0D79"/>
    <w:rsid w:val="001E19D0"/>
    <w:rsid w:val="001E1D90"/>
    <w:rsid w:val="001E1F74"/>
    <w:rsid w:val="001E2425"/>
    <w:rsid w:val="001E404C"/>
    <w:rsid w:val="001E413D"/>
    <w:rsid w:val="001E5C13"/>
    <w:rsid w:val="001E66C8"/>
    <w:rsid w:val="001E7185"/>
    <w:rsid w:val="001F0C03"/>
    <w:rsid w:val="001F0F17"/>
    <w:rsid w:val="001F1358"/>
    <w:rsid w:val="001F1D2C"/>
    <w:rsid w:val="001F3347"/>
    <w:rsid w:val="001F42A2"/>
    <w:rsid w:val="001F430B"/>
    <w:rsid w:val="001F532E"/>
    <w:rsid w:val="001F69E4"/>
    <w:rsid w:val="002011D7"/>
    <w:rsid w:val="0020297C"/>
    <w:rsid w:val="00202FE8"/>
    <w:rsid w:val="00203A63"/>
    <w:rsid w:val="00204BC8"/>
    <w:rsid w:val="00205461"/>
    <w:rsid w:val="00205657"/>
    <w:rsid w:val="0020637A"/>
    <w:rsid w:val="0020670B"/>
    <w:rsid w:val="002068DC"/>
    <w:rsid w:val="00206D39"/>
    <w:rsid w:val="0021086E"/>
    <w:rsid w:val="0021125A"/>
    <w:rsid w:val="00211CBC"/>
    <w:rsid w:val="00211DC6"/>
    <w:rsid w:val="002125B4"/>
    <w:rsid w:val="002155B8"/>
    <w:rsid w:val="0021750E"/>
    <w:rsid w:val="0021778A"/>
    <w:rsid w:val="0022033B"/>
    <w:rsid w:val="00220F59"/>
    <w:rsid w:val="00222D47"/>
    <w:rsid w:val="00224839"/>
    <w:rsid w:val="002249B2"/>
    <w:rsid w:val="002254AB"/>
    <w:rsid w:val="00226321"/>
    <w:rsid w:val="00226574"/>
    <w:rsid w:val="00226A04"/>
    <w:rsid w:val="002278EC"/>
    <w:rsid w:val="00227F10"/>
    <w:rsid w:val="002316A3"/>
    <w:rsid w:val="00231AAF"/>
    <w:rsid w:val="002320CD"/>
    <w:rsid w:val="0023280E"/>
    <w:rsid w:val="00232BC5"/>
    <w:rsid w:val="00232F69"/>
    <w:rsid w:val="00233B30"/>
    <w:rsid w:val="00233C96"/>
    <w:rsid w:val="0023402E"/>
    <w:rsid w:val="00235AED"/>
    <w:rsid w:val="002372D3"/>
    <w:rsid w:val="00237638"/>
    <w:rsid w:val="002377D1"/>
    <w:rsid w:val="002408DC"/>
    <w:rsid w:val="002446D3"/>
    <w:rsid w:val="00245594"/>
    <w:rsid w:val="00245AE9"/>
    <w:rsid w:val="0024671F"/>
    <w:rsid w:val="00247441"/>
    <w:rsid w:val="00247584"/>
    <w:rsid w:val="002506BC"/>
    <w:rsid w:val="00250843"/>
    <w:rsid w:val="00250F81"/>
    <w:rsid w:val="00251DE4"/>
    <w:rsid w:val="00251E30"/>
    <w:rsid w:val="00252785"/>
    <w:rsid w:val="00254345"/>
    <w:rsid w:val="002559EA"/>
    <w:rsid w:val="00256556"/>
    <w:rsid w:val="00257626"/>
    <w:rsid w:val="00257673"/>
    <w:rsid w:val="0026083C"/>
    <w:rsid w:val="002608C4"/>
    <w:rsid w:val="00261073"/>
    <w:rsid w:val="00261F70"/>
    <w:rsid w:val="00263567"/>
    <w:rsid w:val="002636A5"/>
    <w:rsid w:val="0026380F"/>
    <w:rsid w:val="00264557"/>
    <w:rsid w:val="00264E30"/>
    <w:rsid w:val="00266748"/>
    <w:rsid w:val="00266CA4"/>
    <w:rsid w:val="00267410"/>
    <w:rsid w:val="00271C61"/>
    <w:rsid w:val="00272DDD"/>
    <w:rsid w:val="002730AB"/>
    <w:rsid w:val="00273E99"/>
    <w:rsid w:val="00274620"/>
    <w:rsid w:val="002751F8"/>
    <w:rsid w:val="00275604"/>
    <w:rsid w:val="00276181"/>
    <w:rsid w:val="00276F93"/>
    <w:rsid w:val="00277281"/>
    <w:rsid w:val="002805AB"/>
    <w:rsid w:val="00280D97"/>
    <w:rsid w:val="00280DAA"/>
    <w:rsid w:val="00280DB7"/>
    <w:rsid w:val="002812CF"/>
    <w:rsid w:val="002818B2"/>
    <w:rsid w:val="002828C2"/>
    <w:rsid w:val="00284204"/>
    <w:rsid w:val="0028453D"/>
    <w:rsid w:val="00286E32"/>
    <w:rsid w:val="00287816"/>
    <w:rsid w:val="0029072E"/>
    <w:rsid w:val="00291773"/>
    <w:rsid w:val="0029297D"/>
    <w:rsid w:val="00293ABD"/>
    <w:rsid w:val="00295016"/>
    <w:rsid w:val="002958EA"/>
    <w:rsid w:val="0029595E"/>
    <w:rsid w:val="002961FF"/>
    <w:rsid w:val="00296F08"/>
    <w:rsid w:val="002A168C"/>
    <w:rsid w:val="002A38ED"/>
    <w:rsid w:val="002A3DC7"/>
    <w:rsid w:val="002A5DAB"/>
    <w:rsid w:val="002A649D"/>
    <w:rsid w:val="002A6E92"/>
    <w:rsid w:val="002B10B5"/>
    <w:rsid w:val="002B49E2"/>
    <w:rsid w:val="002B4A56"/>
    <w:rsid w:val="002B72CC"/>
    <w:rsid w:val="002B74FE"/>
    <w:rsid w:val="002B7B00"/>
    <w:rsid w:val="002B7B6F"/>
    <w:rsid w:val="002B7C44"/>
    <w:rsid w:val="002C0978"/>
    <w:rsid w:val="002C295A"/>
    <w:rsid w:val="002C2B17"/>
    <w:rsid w:val="002C3719"/>
    <w:rsid w:val="002C3B6A"/>
    <w:rsid w:val="002C4C26"/>
    <w:rsid w:val="002C521B"/>
    <w:rsid w:val="002C5B75"/>
    <w:rsid w:val="002C6176"/>
    <w:rsid w:val="002C65AB"/>
    <w:rsid w:val="002D18E7"/>
    <w:rsid w:val="002D2768"/>
    <w:rsid w:val="002D2954"/>
    <w:rsid w:val="002D39ED"/>
    <w:rsid w:val="002D3A6E"/>
    <w:rsid w:val="002D3DD0"/>
    <w:rsid w:val="002D629A"/>
    <w:rsid w:val="002D6C70"/>
    <w:rsid w:val="002D6F1C"/>
    <w:rsid w:val="002D78BF"/>
    <w:rsid w:val="002D7A64"/>
    <w:rsid w:val="002E1E43"/>
    <w:rsid w:val="002E1F3A"/>
    <w:rsid w:val="002E298A"/>
    <w:rsid w:val="002E2DBA"/>
    <w:rsid w:val="002E4BCD"/>
    <w:rsid w:val="002E7106"/>
    <w:rsid w:val="002E7AFD"/>
    <w:rsid w:val="002E7F0D"/>
    <w:rsid w:val="002F109A"/>
    <w:rsid w:val="002F10D9"/>
    <w:rsid w:val="002F1325"/>
    <w:rsid w:val="002F2384"/>
    <w:rsid w:val="002F4514"/>
    <w:rsid w:val="002F5715"/>
    <w:rsid w:val="002F6033"/>
    <w:rsid w:val="0030157C"/>
    <w:rsid w:val="00301978"/>
    <w:rsid w:val="00302745"/>
    <w:rsid w:val="00302B43"/>
    <w:rsid w:val="00302D29"/>
    <w:rsid w:val="0030332C"/>
    <w:rsid w:val="00304839"/>
    <w:rsid w:val="003051C2"/>
    <w:rsid w:val="003101AF"/>
    <w:rsid w:val="00311EE6"/>
    <w:rsid w:val="00312296"/>
    <w:rsid w:val="00312D3E"/>
    <w:rsid w:val="00312F68"/>
    <w:rsid w:val="00313DEC"/>
    <w:rsid w:val="00314F0E"/>
    <w:rsid w:val="00314F89"/>
    <w:rsid w:val="00315301"/>
    <w:rsid w:val="00316D81"/>
    <w:rsid w:val="00317BF0"/>
    <w:rsid w:val="00317C8B"/>
    <w:rsid w:val="00317DD2"/>
    <w:rsid w:val="00320602"/>
    <w:rsid w:val="00320809"/>
    <w:rsid w:val="00321D8E"/>
    <w:rsid w:val="003222F7"/>
    <w:rsid w:val="00322C49"/>
    <w:rsid w:val="00322E9A"/>
    <w:rsid w:val="00323274"/>
    <w:rsid w:val="00325928"/>
    <w:rsid w:val="00325A24"/>
    <w:rsid w:val="0032667E"/>
    <w:rsid w:val="00327CD6"/>
    <w:rsid w:val="00330EF7"/>
    <w:rsid w:val="00331562"/>
    <w:rsid w:val="003315C1"/>
    <w:rsid w:val="00332863"/>
    <w:rsid w:val="00332AF7"/>
    <w:rsid w:val="00332B26"/>
    <w:rsid w:val="0033410E"/>
    <w:rsid w:val="00335250"/>
    <w:rsid w:val="00335BDB"/>
    <w:rsid w:val="0033684D"/>
    <w:rsid w:val="003373F3"/>
    <w:rsid w:val="00337B42"/>
    <w:rsid w:val="00337DAD"/>
    <w:rsid w:val="00340193"/>
    <w:rsid w:val="00340394"/>
    <w:rsid w:val="00340A21"/>
    <w:rsid w:val="00340EB5"/>
    <w:rsid w:val="003415BE"/>
    <w:rsid w:val="00341B42"/>
    <w:rsid w:val="00342ED3"/>
    <w:rsid w:val="0034348F"/>
    <w:rsid w:val="0034393C"/>
    <w:rsid w:val="00344AC5"/>
    <w:rsid w:val="00346D57"/>
    <w:rsid w:val="00346FEB"/>
    <w:rsid w:val="0034729C"/>
    <w:rsid w:val="003511C2"/>
    <w:rsid w:val="003518BB"/>
    <w:rsid w:val="0035448E"/>
    <w:rsid w:val="003547CB"/>
    <w:rsid w:val="0035506D"/>
    <w:rsid w:val="00356653"/>
    <w:rsid w:val="00357336"/>
    <w:rsid w:val="0035743F"/>
    <w:rsid w:val="00357721"/>
    <w:rsid w:val="003578EB"/>
    <w:rsid w:val="00357BE2"/>
    <w:rsid w:val="00360FD7"/>
    <w:rsid w:val="0036170C"/>
    <w:rsid w:val="0036177E"/>
    <w:rsid w:val="00361BE1"/>
    <w:rsid w:val="00362284"/>
    <w:rsid w:val="00364C54"/>
    <w:rsid w:val="00366E0F"/>
    <w:rsid w:val="00366F1B"/>
    <w:rsid w:val="00367AC7"/>
    <w:rsid w:val="0037034F"/>
    <w:rsid w:val="00370825"/>
    <w:rsid w:val="0037309C"/>
    <w:rsid w:val="00373598"/>
    <w:rsid w:val="00373670"/>
    <w:rsid w:val="0037408B"/>
    <w:rsid w:val="0037421D"/>
    <w:rsid w:val="0037479B"/>
    <w:rsid w:val="003760ED"/>
    <w:rsid w:val="003767CA"/>
    <w:rsid w:val="00376F40"/>
    <w:rsid w:val="00377285"/>
    <w:rsid w:val="003804F0"/>
    <w:rsid w:val="00380D45"/>
    <w:rsid w:val="00381173"/>
    <w:rsid w:val="003816B1"/>
    <w:rsid w:val="00381A72"/>
    <w:rsid w:val="00381AC6"/>
    <w:rsid w:val="00383CD0"/>
    <w:rsid w:val="00384676"/>
    <w:rsid w:val="003855F6"/>
    <w:rsid w:val="003862F7"/>
    <w:rsid w:val="00387037"/>
    <w:rsid w:val="00387242"/>
    <w:rsid w:val="00387604"/>
    <w:rsid w:val="00390857"/>
    <w:rsid w:val="00390E11"/>
    <w:rsid w:val="0039340C"/>
    <w:rsid w:val="003938AB"/>
    <w:rsid w:val="00393B47"/>
    <w:rsid w:val="003955E1"/>
    <w:rsid w:val="0039599B"/>
    <w:rsid w:val="00396484"/>
    <w:rsid w:val="0039660A"/>
    <w:rsid w:val="0039670F"/>
    <w:rsid w:val="003968FD"/>
    <w:rsid w:val="00396F21"/>
    <w:rsid w:val="003A0F49"/>
    <w:rsid w:val="003A26C9"/>
    <w:rsid w:val="003A3A32"/>
    <w:rsid w:val="003A4BF3"/>
    <w:rsid w:val="003A55B8"/>
    <w:rsid w:val="003A5CD1"/>
    <w:rsid w:val="003A6676"/>
    <w:rsid w:val="003A73C5"/>
    <w:rsid w:val="003B09AE"/>
    <w:rsid w:val="003B15BD"/>
    <w:rsid w:val="003B23FA"/>
    <w:rsid w:val="003B307A"/>
    <w:rsid w:val="003B30E9"/>
    <w:rsid w:val="003B3D5A"/>
    <w:rsid w:val="003B420D"/>
    <w:rsid w:val="003B4BC6"/>
    <w:rsid w:val="003B5559"/>
    <w:rsid w:val="003B5820"/>
    <w:rsid w:val="003B5CF3"/>
    <w:rsid w:val="003B77A7"/>
    <w:rsid w:val="003B7C27"/>
    <w:rsid w:val="003C0335"/>
    <w:rsid w:val="003C0550"/>
    <w:rsid w:val="003C0EA0"/>
    <w:rsid w:val="003C19D9"/>
    <w:rsid w:val="003C1C0A"/>
    <w:rsid w:val="003C20D2"/>
    <w:rsid w:val="003C2523"/>
    <w:rsid w:val="003C28DE"/>
    <w:rsid w:val="003C2A74"/>
    <w:rsid w:val="003C2DBA"/>
    <w:rsid w:val="003C4B26"/>
    <w:rsid w:val="003C66B3"/>
    <w:rsid w:val="003C6C16"/>
    <w:rsid w:val="003C6F2F"/>
    <w:rsid w:val="003D1210"/>
    <w:rsid w:val="003D17D7"/>
    <w:rsid w:val="003D4574"/>
    <w:rsid w:val="003D529E"/>
    <w:rsid w:val="003D5E34"/>
    <w:rsid w:val="003D5F36"/>
    <w:rsid w:val="003D5F53"/>
    <w:rsid w:val="003D5F73"/>
    <w:rsid w:val="003D6509"/>
    <w:rsid w:val="003D794D"/>
    <w:rsid w:val="003E161C"/>
    <w:rsid w:val="003E1E90"/>
    <w:rsid w:val="003E2878"/>
    <w:rsid w:val="003E3058"/>
    <w:rsid w:val="003E3417"/>
    <w:rsid w:val="003E50AE"/>
    <w:rsid w:val="003E5948"/>
    <w:rsid w:val="003E6256"/>
    <w:rsid w:val="003E72A1"/>
    <w:rsid w:val="003E76A9"/>
    <w:rsid w:val="003E7A70"/>
    <w:rsid w:val="003F005E"/>
    <w:rsid w:val="003F046C"/>
    <w:rsid w:val="003F0809"/>
    <w:rsid w:val="003F083B"/>
    <w:rsid w:val="003F5547"/>
    <w:rsid w:val="003F6A8C"/>
    <w:rsid w:val="003F6D16"/>
    <w:rsid w:val="003F755C"/>
    <w:rsid w:val="0040027C"/>
    <w:rsid w:val="00401B50"/>
    <w:rsid w:val="00401FF1"/>
    <w:rsid w:val="00405079"/>
    <w:rsid w:val="00406F01"/>
    <w:rsid w:val="00407503"/>
    <w:rsid w:val="004078DE"/>
    <w:rsid w:val="00410420"/>
    <w:rsid w:val="00410507"/>
    <w:rsid w:val="004119FC"/>
    <w:rsid w:val="00411F72"/>
    <w:rsid w:val="00412C9A"/>
    <w:rsid w:val="0041333B"/>
    <w:rsid w:val="00414860"/>
    <w:rsid w:val="00414C46"/>
    <w:rsid w:val="00415449"/>
    <w:rsid w:val="00415C07"/>
    <w:rsid w:val="00415D5A"/>
    <w:rsid w:val="0041652A"/>
    <w:rsid w:val="00416D50"/>
    <w:rsid w:val="00416FD5"/>
    <w:rsid w:val="00417772"/>
    <w:rsid w:val="00420B51"/>
    <w:rsid w:val="00420E6A"/>
    <w:rsid w:val="004214D6"/>
    <w:rsid w:val="00421770"/>
    <w:rsid w:val="004218FC"/>
    <w:rsid w:val="004219A7"/>
    <w:rsid w:val="00421AA2"/>
    <w:rsid w:val="00422E44"/>
    <w:rsid w:val="00423452"/>
    <w:rsid w:val="004244E3"/>
    <w:rsid w:val="00425A1B"/>
    <w:rsid w:val="00425A9E"/>
    <w:rsid w:val="004260A0"/>
    <w:rsid w:val="00426D6B"/>
    <w:rsid w:val="00430092"/>
    <w:rsid w:val="00431C64"/>
    <w:rsid w:val="00431DF9"/>
    <w:rsid w:val="00431E6C"/>
    <w:rsid w:val="00432ED1"/>
    <w:rsid w:val="00433B4F"/>
    <w:rsid w:val="00433CE7"/>
    <w:rsid w:val="004349D3"/>
    <w:rsid w:val="004355A3"/>
    <w:rsid w:val="00436922"/>
    <w:rsid w:val="00436BC7"/>
    <w:rsid w:val="00437EC2"/>
    <w:rsid w:val="0044001E"/>
    <w:rsid w:val="00441522"/>
    <w:rsid w:val="004416FE"/>
    <w:rsid w:val="00442049"/>
    <w:rsid w:val="00442F10"/>
    <w:rsid w:val="00443072"/>
    <w:rsid w:val="0044362E"/>
    <w:rsid w:val="00443CEE"/>
    <w:rsid w:val="00444FE9"/>
    <w:rsid w:val="00445A0C"/>
    <w:rsid w:val="0044642D"/>
    <w:rsid w:val="0044744B"/>
    <w:rsid w:val="00450866"/>
    <w:rsid w:val="00450D42"/>
    <w:rsid w:val="004523D2"/>
    <w:rsid w:val="004526B3"/>
    <w:rsid w:val="00452738"/>
    <w:rsid w:val="00453665"/>
    <w:rsid w:val="00455894"/>
    <w:rsid w:val="00455BE0"/>
    <w:rsid w:val="00455BE1"/>
    <w:rsid w:val="00456091"/>
    <w:rsid w:val="00456CB9"/>
    <w:rsid w:val="0045702E"/>
    <w:rsid w:val="00457495"/>
    <w:rsid w:val="00462B75"/>
    <w:rsid w:val="00463291"/>
    <w:rsid w:val="00463575"/>
    <w:rsid w:val="0046482C"/>
    <w:rsid w:val="00465EEC"/>
    <w:rsid w:val="00466321"/>
    <w:rsid w:val="004671FD"/>
    <w:rsid w:val="00467E43"/>
    <w:rsid w:val="00471070"/>
    <w:rsid w:val="00471E42"/>
    <w:rsid w:val="00471FF5"/>
    <w:rsid w:val="00473890"/>
    <w:rsid w:val="004754A6"/>
    <w:rsid w:val="00480280"/>
    <w:rsid w:val="004819EE"/>
    <w:rsid w:val="00481C27"/>
    <w:rsid w:val="00481C7E"/>
    <w:rsid w:val="00482416"/>
    <w:rsid w:val="00484B9B"/>
    <w:rsid w:val="00484DE1"/>
    <w:rsid w:val="004855F6"/>
    <w:rsid w:val="004856B1"/>
    <w:rsid w:val="004862BE"/>
    <w:rsid w:val="0048661E"/>
    <w:rsid w:val="004870E2"/>
    <w:rsid w:val="004901F6"/>
    <w:rsid w:val="004918C2"/>
    <w:rsid w:val="004924B4"/>
    <w:rsid w:val="00492A1D"/>
    <w:rsid w:val="00493C20"/>
    <w:rsid w:val="00493CBB"/>
    <w:rsid w:val="00494206"/>
    <w:rsid w:val="00494670"/>
    <w:rsid w:val="00495610"/>
    <w:rsid w:val="00496D73"/>
    <w:rsid w:val="00497CFE"/>
    <w:rsid w:val="00497D2B"/>
    <w:rsid w:val="004A1FEA"/>
    <w:rsid w:val="004A2C27"/>
    <w:rsid w:val="004A31E3"/>
    <w:rsid w:val="004A3823"/>
    <w:rsid w:val="004A4E7B"/>
    <w:rsid w:val="004A52EE"/>
    <w:rsid w:val="004A6781"/>
    <w:rsid w:val="004A77B7"/>
    <w:rsid w:val="004B079B"/>
    <w:rsid w:val="004B1D1A"/>
    <w:rsid w:val="004B415A"/>
    <w:rsid w:val="004B5E4A"/>
    <w:rsid w:val="004B5FE8"/>
    <w:rsid w:val="004B67D3"/>
    <w:rsid w:val="004B74CE"/>
    <w:rsid w:val="004B7C28"/>
    <w:rsid w:val="004B7E76"/>
    <w:rsid w:val="004C0761"/>
    <w:rsid w:val="004C083E"/>
    <w:rsid w:val="004C0EF8"/>
    <w:rsid w:val="004C1217"/>
    <w:rsid w:val="004C19C7"/>
    <w:rsid w:val="004C376A"/>
    <w:rsid w:val="004C376E"/>
    <w:rsid w:val="004C4D34"/>
    <w:rsid w:val="004C6E33"/>
    <w:rsid w:val="004D032C"/>
    <w:rsid w:val="004D7A96"/>
    <w:rsid w:val="004D7EC8"/>
    <w:rsid w:val="004E0073"/>
    <w:rsid w:val="004E04FC"/>
    <w:rsid w:val="004E0863"/>
    <w:rsid w:val="004E3DB0"/>
    <w:rsid w:val="004E3E64"/>
    <w:rsid w:val="004E3FBD"/>
    <w:rsid w:val="004E4168"/>
    <w:rsid w:val="004E5445"/>
    <w:rsid w:val="004E6946"/>
    <w:rsid w:val="004E6AFB"/>
    <w:rsid w:val="004E7B33"/>
    <w:rsid w:val="004F09CA"/>
    <w:rsid w:val="004F0A85"/>
    <w:rsid w:val="004F1AD8"/>
    <w:rsid w:val="004F1B72"/>
    <w:rsid w:val="004F3E42"/>
    <w:rsid w:val="004F5223"/>
    <w:rsid w:val="004F6810"/>
    <w:rsid w:val="00501127"/>
    <w:rsid w:val="00501E1E"/>
    <w:rsid w:val="00501ED0"/>
    <w:rsid w:val="005029FD"/>
    <w:rsid w:val="00502C07"/>
    <w:rsid w:val="00503929"/>
    <w:rsid w:val="005039CB"/>
    <w:rsid w:val="00503FFF"/>
    <w:rsid w:val="00504078"/>
    <w:rsid w:val="0050558F"/>
    <w:rsid w:val="00506286"/>
    <w:rsid w:val="0050673A"/>
    <w:rsid w:val="005070AC"/>
    <w:rsid w:val="005103CB"/>
    <w:rsid w:val="00510813"/>
    <w:rsid w:val="00511990"/>
    <w:rsid w:val="00511DE0"/>
    <w:rsid w:val="00511EDA"/>
    <w:rsid w:val="00513E12"/>
    <w:rsid w:val="00514870"/>
    <w:rsid w:val="00514B9B"/>
    <w:rsid w:val="005168C7"/>
    <w:rsid w:val="00517164"/>
    <w:rsid w:val="00517548"/>
    <w:rsid w:val="00517F02"/>
    <w:rsid w:val="00524303"/>
    <w:rsid w:val="00524575"/>
    <w:rsid w:val="00524BF0"/>
    <w:rsid w:val="00524C54"/>
    <w:rsid w:val="005258A2"/>
    <w:rsid w:val="0052738D"/>
    <w:rsid w:val="00530084"/>
    <w:rsid w:val="0053218E"/>
    <w:rsid w:val="005328AB"/>
    <w:rsid w:val="00533730"/>
    <w:rsid w:val="00534506"/>
    <w:rsid w:val="00535D76"/>
    <w:rsid w:val="0053602F"/>
    <w:rsid w:val="0053627C"/>
    <w:rsid w:val="00536D89"/>
    <w:rsid w:val="00537338"/>
    <w:rsid w:val="00537B23"/>
    <w:rsid w:val="00537F40"/>
    <w:rsid w:val="005401AE"/>
    <w:rsid w:val="0054057C"/>
    <w:rsid w:val="00540982"/>
    <w:rsid w:val="00541B32"/>
    <w:rsid w:val="0054266C"/>
    <w:rsid w:val="00542E07"/>
    <w:rsid w:val="005430D4"/>
    <w:rsid w:val="00543D75"/>
    <w:rsid w:val="00545424"/>
    <w:rsid w:val="00546372"/>
    <w:rsid w:val="005466AF"/>
    <w:rsid w:val="005507F6"/>
    <w:rsid w:val="005508FB"/>
    <w:rsid w:val="00551636"/>
    <w:rsid w:val="00553D4F"/>
    <w:rsid w:val="00553DB8"/>
    <w:rsid w:val="0055444A"/>
    <w:rsid w:val="00554A7B"/>
    <w:rsid w:val="00555354"/>
    <w:rsid w:val="0055572C"/>
    <w:rsid w:val="0055706A"/>
    <w:rsid w:val="005574FC"/>
    <w:rsid w:val="00557652"/>
    <w:rsid w:val="005578BB"/>
    <w:rsid w:val="00560A5E"/>
    <w:rsid w:val="00560BA0"/>
    <w:rsid w:val="00560BCB"/>
    <w:rsid w:val="00560F79"/>
    <w:rsid w:val="0056106A"/>
    <w:rsid w:val="00561FAA"/>
    <w:rsid w:val="00563FD0"/>
    <w:rsid w:val="00564762"/>
    <w:rsid w:val="005648D2"/>
    <w:rsid w:val="00564A07"/>
    <w:rsid w:val="00565172"/>
    <w:rsid w:val="00565D50"/>
    <w:rsid w:val="00566A4F"/>
    <w:rsid w:val="005670FB"/>
    <w:rsid w:val="00567486"/>
    <w:rsid w:val="00567F61"/>
    <w:rsid w:val="005704DD"/>
    <w:rsid w:val="0057124A"/>
    <w:rsid w:val="00571775"/>
    <w:rsid w:val="005720AE"/>
    <w:rsid w:val="00572634"/>
    <w:rsid w:val="00572C96"/>
    <w:rsid w:val="00572CB8"/>
    <w:rsid w:val="00573A2C"/>
    <w:rsid w:val="00573CB4"/>
    <w:rsid w:val="00574F18"/>
    <w:rsid w:val="00576380"/>
    <w:rsid w:val="00576E82"/>
    <w:rsid w:val="00577522"/>
    <w:rsid w:val="00577B74"/>
    <w:rsid w:val="00577E0D"/>
    <w:rsid w:val="00580325"/>
    <w:rsid w:val="00580F07"/>
    <w:rsid w:val="00582DB2"/>
    <w:rsid w:val="00583E40"/>
    <w:rsid w:val="00584253"/>
    <w:rsid w:val="00585A9C"/>
    <w:rsid w:val="00585FE8"/>
    <w:rsid w:val="00586766"/>
    <w:rsid w:val="00587D58"/>
    <w:rsid w:val="0059035F"/>
    <w:rsid w:val="0059175C"/>
    <w:rsid w:val="00592EB9"/>
    <w:rsid w:val="0059365A"/>
    <w:rsid w:val="005942C3"/>
    <w:rsid w:val="00594339"/>
    <w:rsid w:val="00594C62"/>
    <w:rsid w:val="00594D77"/>
    <w:rsid w:val="00595F13"/>
    <w:rsid w:val="00596461"/>
    <w:rsid w:val="005969E4"/>
    <w:rsid w:val="005973A2"/>
    <w:rsid w:val="00597564"/>
    <w:rsid w:val="005A06B7"/>
    <w:rsid w:val="005A1594"/>
    <w:rsid w:val="005A1759"/>
    <w:rsid w:val="005A29D2"/>
    <w:rsid w:val="005A44E1"/>
    <w:rsid w:val="005A60AA"/>
    <w:rsid w:val="005A6700"/>
    <w:rsid w:val="005A68A7"/>
    <w:rsid w:val="005A7277"/>
    <w:rsid w:val="005B049C"/>
    <w:rsid w:val="005B1391"/>
    <w:rsid w:val="005B3378"/>
    <w:rsid w:val="005B3822"/>
    <w:rsid w:val="005B5276"/>
    <w:rsid w:val="005B54AE"/>
    <w:rsid w:val="005B59F0"/>
    <w:rsid w:val="005B6028"/>
    <w:rsid w:val="005C001E"/>
    <w:rsid w:val="005C0B4E"/>
    <w:rsid w:val="005C2D35"/>
    <w:rsid w:val="005C3A74"/>
    <w:rsid w:val="005C4C0E"/>
    <w:rsid w:val="005C5350"/>
    <w:rsid w:val="005C53A8"/>
    <w:rsid w:val="005C6B63"/>
    <w:rsid w:val="005C747A"/>
    <w:rsid w:val="005C7CB1"/>
    <w:rsid w:val="005D0437"/>
    <w:rsid w:val="005D0E10"/>
    <w:rsid w:val="005D1795"/>
    <w:rsid w:val="005D1C2F"/>
    <w:rsid w:val="005D2E34"/>
    <w:rsid w:val="005D36AB"/>
    <w:rsid w:val="005D5175"/>
    <w:rsid w:val="005E0196"/>
    <w:rsid w:val="005E03AD"/>
    <w:rsid w:val="005E10A5"/>
    <w:rsid w:val="005E2466"/>
    <w:rsid w:val="005E48AD"/>
    <w:rsid w:val="005E4B9C"/>
    <w:rsid w:val="005E5253"/>
    <w:rsid w:val="005E5493"/>
    <w:rsid w:val="005E54CF"/>
    <w:rsid w:val="005E69F8"/>
    <w:rsid w:val="005F06E8"/>
    <w:rsid w:val="005F31DD"/>
    <w:rsid w:val="005F367C"/>
    <w:rsid w:val="005F387D"/>
    <w:rsid w:val="005F3989"/>
    <w:rsid w:val="005F3CD0"/>
    <w:rsid w:val="005F42AA"/>
    <w:rsid w:val="005F4913"/>
    <w:rsid w:val="005F49AC"/>
    <w:rsid w:val="005F59CA"/>
    <w:rsid w:val="005F63FC"/>
    <w:rsid w:val="005F6C8F"/>
    <w:rsid w:val="005F798A"/>
    <w:rsid w:val="0060022D"/>
    <w:rsid w:val="00602416"/>
    <w:rsid w:val="00603564"/>
    <w:rsid w:val="006057B0"/>
    <w:rsid w:val="00606481"/>
    <w:rsid w:val="00606778"/>
    <w:rsid w:val="00606A5A"/>
    <w:rsid w:val="00606CE8"/>
    <w:rsid w:val="00607337"/>
    <w:rsid w:val="006103F0"/>
    <w:rsid w:val="006105A7"/>
    <w:rsid w:val="00612378"/>
    <w:rsid w:val="00612510"/>
    <w:rsid w:val="00612606"/>
    <w:rsid w:val="00612F16"/>
    <w:rsid w:val="0061417D"/>
    <w:rsid w:val="006145EF"/>
    <w:rsid w:val="00614BF4"/>
    <w:rsid w:val="00615817"/>
    <w:rsid w:val="00615AF8"/>
    <w:rsid w:val="0061625E"/>
    <w:rsid w:val="006162DF"/>
    <w:rsid w:val="00617A75"/>
    <w:rsid w:val="00617CC3"/>
    <w:rsid w:val="006204C0"/>
    <w:rsid w:val="0062069E"/>
    <w:rsid w:val="00621C75"/>
    <w:rsid w:val="00623A26"/>
    <w:rsid w:val="00624AD2"/>
    <w:rsid w:val="00624B68"/>
    <w:rsid w:val="0062568E"/>
    <w:rsid w:val="0062608D"/>
    <w:rsid w:val="00626953"/>
    <w:rsid w:val="0062726E"/>
    <w:rsid w:val="00627CBE"/>
    <w:rsid w:val="00630CDB"/>
    <w:rsid w:val="00632839"/>
    <w:rsid w:val="00633637"/>
    <w:rsid w:val="006377A6"/>
    <w:rsid w:val="00637A3D"/>
    <w:rsid w:val="00641183"/>
    <w:rsid w:val="006411EF"/>
    <w:rsid w:val="00641AB4"/>
    <w:rsid w:val="00641BCD"/>
    <w:rsid w:val="00643DA5"/>
    <w:rsid w:val="006446F8"/>
    <w:rsid w:val="00644771"/>
    <w:rsid w:val="00647443"/>
    <w:rsid w:val="006475F4"/>
    <w:rsid w:val="0065048D"/>
    <w:rsid w:val="006505C1"/>
    <w:rsid w:val="00650630"/>
    <w:rsid w:val="00651726"/>
    <w:rsid w:val="006539B7"/>
    <w:rsid w:val="006542B2"/>
    <w:rsid w:val="006544B1"/>
    <w:rsid w:val="0065451B"/>
    <w:rsid w:val="006556CA"/>
    <w:rsid w:val="00655E9B"/>
    <w:rsid w:val="006567DD"/>
    <w:rsid w:val="00656AB0"/>
    <w:rsid w:val="00657186"/>
    <w:rsid w:val="006600FD"/>
    <w:rsid w:val="00660E03"/>
    <w:rsid w:val="00661964"/>
    <w:rsid w:val="0066235F"/>
    <w:rsid w:val="006624FF"/>
    <w:rsid w:val="006629CB"/>
    <w:rsid w:val="00662CBA"/>
    <w:rsid w:val="00663770"/>
    <w:rsid w:val="00667D91"/>
    <w:rsid w:val="006705E2"/>
    <w:rsid w:val="00670E69"/>
    <w:rsid w:val="00671D97"/>
    <w:rsid w:val="006730C1"/>
    <w:rsid w:val="006748B8"/>
    <w:rsid w:val="00676154"/>
    <w:rsid w:val="0067722F"/>
    <w:rsid w:val="006775C3"/>
    <w:rsid w:val="006805A8"/>
    <w:rsid w:val="00681408"/>
    <w:rsid w:val="00681F05"/>
    <w:rsid w:val="00682B98"/>
    <w:rsid w:val="00682CF8"/>
    <w:rsid w:val="00682E38"/>
    <w:rsid w:val="00682FE7"/>
    <w:rsid w:val="00683455"/>
    <w:rsid w:val="00683712"/>
    <w:rsid w:val="00683D96"/>
    <w:rsid w:val="00684B68"/>
    <w:rsid w:val="0068557D"/>
    <w:rsid w:val="00685924"/>
    <w:rsid w:val="00686E86"/>
    <w:rsid w:val="00686F60"/>
    <w:rsid w:val="00690606"/>
    <w:rsid w:val="006911F9"/>
    <w:rsid w:val="006923CB"/>
    <w:rsid w:val="0069260B"/>
    <w:rsid w:val="0069290A"/>
    <w:rsid w:val="006949F6"/>
    <w:rsid w:val="00694CB1"/>
    <w:rsid w:val="00695826"/>
    <w:rsid w:val="00695BD2"/>
    <w:rsid w:val="00696A5D"/>
    <w:rsid w:val="00696E9D"/>
    <w:rsid w:val="0069709C"/>
    <w:rsid w:val="0069744B"/>
    <w:rsid w:val="0069775A"/>
    <w:rsid w:val="00697813"/>
    <w:rsid w:val="006A25CC"/>
    <w:rsid w:val="006A2AB1"/>
    <w:rsid w:val="006A2EB9"/>
    <w:rsid w:val="006A389F"/>
    <w:rsid w:val="006A3D0C"/>
    <w:rsid w:val="006A3EE8"/>
    <w:rsid w:val="006A422F"/>
    <w:rsid w:val="006A4AFA"/>
    <w:rsid w:val="006A4F11"/>
    <w:rsid w:val="006A72BF"/>
    <w:rsid w:val="006A7672"/>
    <w:rsid w:val="006A78C3"/>
    <w:rsid w:val="006A7A6A"/>
    <w:rsid w:val="006B03F2"/>
    <w:rsid w:val="006B04A1"/>
    <w:rsid w:val="006B113F"/>
    <w:rsid w:val="006B23B8"/>
    <w:rsid w:val="006B37DC"/>
    <w:rsid w:val="006B4260"/>
    <w:rsid w:val="006B46B2"/>
    <w:rsid w:val="006B4F68"/>
    <w:rsid w:val="006B520D"/>
    <w:rsid w:val="006B5A8A"/>
    <w:rsid w:val="006B70D3"/>
    <w:rsid w:val="006C0592"/>
    <w:rsid w:val="006C272E"/>
    <w:rsid w:val="006C2826"/>
    <w:rsid w:val="006C35B2"/>
    <w:rsid w:val="006C521A"/>
    <w:rsid w:val="006C53E5"/>
    <w:rsid w:val="006C5479"/>
    <w:rsid w:val="006C6681"/>
    <w:rsid w:val="006D0106"/>
    <w:rsid w:val="006D13B5"/>
    <w:rsid w:val="006D1C34"/>
    <w:rsid w:val="006D1CCE"/>
    <w:rsid w:val="006D2ABE"/>
    <w:rsid w:val="006D2EE3"/>
    <w:rsid w:val="006D3DA8"/>
    <w:rsid w:val="006D499A"/>
    <w:rsid w:val="006D49AD"/>
    <w:rsid w:val="006D4D22"/>
    <w:rsid w:val="006D4F4E"/>
    <w:rsid w:val="006D5471"/>
    <w:rsid w:val="006D5816"/>
    <w:rsid w:val="006D60D9"/>
    <w:rsid w:val="006D7FC8"/>
    <w:rsid w:val="006E01CF"/>
    <w:rsid w:val="006E12FF"/>
    <w:rsid w:val="006E2DDF"/>
    <w:rsid w:val="006E2E7B"/>
    <w:rsid w:val="006E4F08"/>
    <w:rsid w:val="006E607E"/>
    <w:rsid w:val="006E6505"/>
    <w:rsid w:val="006E663F"/>
    <w:rsid w:val="006E7239"/>
    <w:rsid w:val="006E7CC8"/>
    <w:rsid w:val="006F0DE4"/>
    <w:rsid w:val="006F140A"/>
    <w:rsid w:val="006F2F79"/>
    <w:rsid w:val="006F7D4C"/>
    <w:rsid w:val="007011CC"/>
    <w:rsid w:val="007029E6"/>
    <w:rsid w:val="00703468"/>
    <w:rsid w:val="00703AEA"/>
    <w:rsid w:val="00704659"/>
    <w:rsid w:val="0070521C"/>
    <w:rsid w:val="007061BF"/>
    <w:rsid w:val="007062A3"/>
    <w:rsid w:val="007069DC"/>
    <w:rsid w:val="00706C5D"/>
    <w:rsid w:val="0070720F"/>
    <w:rsid w:val="007076F7"/>
    <w:rsid w:val="0071135F"/>
    <w:rsid w:val="007116EE"/>
    <w:rsid w:val="007129B7"/>
    <w:rsid w:val="00712F27"/>
    <w:rsid w:val="00714091"/>
    <w:rsid w:val="0071485F"/>
    <w:rsid w:val="00716A53"/>
    <w:rsid w:val="00716D97"/>
    <w:rsid w:val="00716FE2"/>
    <w:rsid w:val="00717A8D"/>
    <w:rsid w:val="00717DB2"/>
    <w:rsid w:val="00720098"/>
    <w:rsid w:val="007206FA"/>
    <w:rsid w:val="007212E9"/>
    <w:rsid w:val="00721446"/>
    <w:rsid w:val="0072409D"/>
    <w:rsid w:val="00727252"/>
    <w:rsid w:val="00730A1D"/>
    <w:rsid w:val="007311F5"/>
    <w:rsid w:val="007326C0"/>
    <w:rsid w:val="00732922"/>
    <w:rsid w:val="007331E4"/>
    <w:rsid w:val="00733590"/>
    <w:rsid w:val="00734402"/>
    <w:rsid w:val="007346B4"/>
    <w:rsid w:val="00734C6C"/>
    <w:rsid w:val="00735CF7"/>
    <w:rsid w:val="0073605E"/>
    <w:rsid w:val="00736198"/>
    <w:rsid w:val="00737215"/>
    <w:rsid w:val="007378BC"/>
    <w:rsid w:val="00737AD7"/>
    <w:rsid w:val="00740E6F"/>
    <w:rsid w:val="00741268"/>
    <w:rsid w:val="0074137D"/>
    <w:rsid w:val="00741794"/>
    <w:rsid w:val="00742205"/>
    <w:rsid w:val="007427CF"/>
    <w:rsid w:val="00742E37"/>
    <w:rsid w:val="00745C15"/>
    <w:rsid w:val="0074679E"/>
    <w:rsid w:val="00747C6D"/>
    <w:rsid w:val="0075058B"/>
    <w:rsid w:val="007506ED"/>
    <w:rsid w:val="00750E72"/>
    <w:rsid w:val="0075162E"/>
    <w:rsid w:val="00754034"/>
    <w:rsid w:val="007544A5"/>
    <w:rsid w:val="00755FE1"/>
    <w:rsid w:val="00756556"/>
    <w:rsid w:val="00756BD1"/>
    <w:rsid w:val="00757752"/>
    <w:rsid w:val="00761864"/>
    <w:rsid w:val="007618C4"/>
    <w:rsid w:val="00761C25"/>
    <w:rsid w:val="0076221C"/>
    <w:rsid w:val="0076363A"/>
    <w:rsid w:val="00764663"/>
    <w:rsid w:val="007658EF"/>
    <w:rsid w:val="00765D15"/>
    <w:rsid w:val="00766518"/>
    <w:rsid w:val="00767980"/>
    <w:rsid w:val="00767BE8"/>
    <w:rsid w:val="00767D85"/>
    <w:rsid w:val="00770097"/>
    <w:rsid w:val="00770B19"/>
    <w:rsid w:val="00774238"/>
    <w:rsid w:val="0077463F"/>
    <w:rsid w:val="00780098"/>
    <w:rsid w:val="00780D3F"/>
    <w:rsid w:val="00781E83"/>
    <w:rsid w:val="00781F65"/>
    <w:rsid w:val="007836EA"/>
    <w:rsid w:val="00784CDA"/>
    <w:rsid w:val="007860AC"/>
    <w:rsid w:val="00787909"/>
    <w:rsid w:val="007906C4"/>
    <w:rsid w:val="0079106F"/>
    <w:rsid w:val="0079206C"/>
    <w:rsid w:val="007928B4"/>
    <w:rsid w:val="00792BCD"/>
    <w:rsid w:val="00793E5D"/>
    <w:rsid w:val="007940EA"/>
    <w:rsid w:val="007953F1"/>
    <w:rsid w:val="0079604F"/>
    <w:rsid w:val="007967E8"/>
    <w:rsid w:val="00796995"/>
    <w:rsid w:val="00796CBD"/>
    <w:rsid w:val="007979C4"/>
    <w:rsid w:val="00797A05"/>
    <w:rsid w:val="00797CCD"/>
    <w:rsid w:val="007A1C0D"/>
    <w:rsid w:val="007A2170"/>
    <w:rsid w:val="007A22BF"/>
    <w:rsid w:val="007A3323"/>
    <w:rsid w:val="007A3BF5"/>
    <w:rsid w:val="007A44E5"/>
    <w:rsid w:val="007A51B4"/>
    <w:rsid w:val="007A6D26"/>
    <w:rsid w:val="007B0A1E"/>
    <w:rsid w:val="007B0C64"/>
    <w:rsid w:val="007B1423"/>
    <w:rsid w:val="007B4111"/>
    <w:rsid w:val="007B5227"/>
    <w:rsid w:val="007B5F5D"/>
    <w:rsid w:val="007B72B8"/>
    <w:rsid w:val="007B7A58"/>
    <w:rsid w:val="007B7C40"/>
    <w:rsid w:val="007C03AE"/>
    <w:rsid w:val="007C20CE"/>
    <w:rsid w:val="007C21B5"/>
    <w:rsid w:val="007C389C"/>
    <w:rsid w:val="007C4956"/>
    <w:rsid w:val="007C7661"/>
    <w:rsid w:val="007C79F7"/>
    <w:rsid w:val="007D38EA"/>
    <w:rsid w:val="007D3B66"/>
    <w:rsid w:val="007D497A"/>
    <w:rsid w:val="007D54EA"/>
    <w:rsid w:val="007D564F"/>
    <w:rsid w:val="007D5CEE"/>
    <w:rsid w:val="007D66AB"/>
    <w:rsid w:val="007D7B25"/>
    <w:rsid w:val="007E04A0"/>
    <w:rsid w:val="007E0A2C"/>
    <w:rsid w:val="007E1D09"/>
    <w:rsid w:val="007E1E2B"/>
    <w:rsid w:val="007E37B5"/>
    <w:rsid w:val="007E3D55"/>
    <w:rsid w:val="007E49AE"/>
    <w:rsid w:val="007E4BD2"/>
    <w:rsid w:val="007E53BA"/>
    <w:rsid w:val="007E6774"/>
    <w:rsid w:val="007F00DD"/>
    <w:rsid w:val="007F4E72"/>
    <w:rsid w:val="007F508C"/>
    <w:rsid w:val="007F671D"/>
    <w:rsid w:val="007F7225"/>
    <w:rsid w:val="00801393"/>
    <w:rsid w:val="00801425"/>
    <w:rsid w:val="00801B29"/>
    <w:rsid w:val="00802799"/>
    <w:rsid w:val="00802F88"/>
    <w:rsid w:val="0080689F"/>
    <w:rsid w:val="00806D0F"/>
    <w:rsid w:val="00806DCB"/>
    <w:rsid w:val="0081293E"/>
    <w:rsid w:val="00812FF2"/>
    <w:rsid w:val="00813D30"/>
    <w:rsid w:val="00813FE6"/>
    <w:rsid w:val="0081442C"/>
    <w:rsid w:val="008149AC"/>
    <w:rsid w:val="00814AE5"/>
    <w:rsid w:val="00815140"/>
    <w:rsid w:val="00815465"/>
    <w:rsid w:val="0081621D"/>
    <w:rsid w:val="00816D00"/>
    <w:rsid w:val="0081751A"/>
    <w:rsid w:val="00817E9A"/>
    <w:rsid w:val="008206AC"/>
    <w:rsid w:val="0082302D"/>
    <w:rsid w:val="00823718"/>
    <w:rsid w:val="008238B1"/>
    <w:rsid w:val="00824595"/>
    <w:rsid w:val="00825571"/>
    <w:rsid w:val="008306BD"/>
    <w:rsid w:val="00831A80"/>
    <w:rsid w:val="0083233E"/>
    <w:rsid w:val="0083253B"/>
    <w:rsid w:val="00832545"/>
    <w:rsid w:val="00833482"/>
    <w:rsid w:val="00833743"/>
    <w:rsid w:val="00833C7F"/>
    <w:rsid w:val="00834087"/>
    <w:rsid w:val="008340A4"/>
    <w:rsid w:val="008342E0"/>
    <w:rsid w:val="008344D9"/>
    <w:rsid w:val="008348E8"/>
    <w:rsid w:val="00835801"/>
    <w:rsid w:val="00835F83"/>
    <w:rsid w:val="00836193"/>
    <w:rsid w:val="0083645F"/>
    <w:rsid w:val="008367EE"/>
    <w:rsid w:val="00840D38"/>
    <w:rsid w:val="00841055"/>
    <w:rsid w:val="008410D9"/>
    <w:rsid w:val="008414F6"/>
    <w:rsid w:val="00841729"/>
    <w:rsid w:val="00841ADA"/>
    <w:rsid w:val="00844678"/>
    <w:rsid w:val="00845A73"/>
    <w:rsid w:val="00845E38"/>
    <w:rsid w:val="0084622E"/>
    <w:rsid w:val="00846348"/>
    <w:rsid w:val="00846AA1"/>
    <w:rsid w:val="008478D7"/>
    <w:rsid w:val="0085118C"/>
    <w:rsid w:val="00851CDD"/>
    <w:rsid w:val="008533B7"/>
    <w:rsid w:val="00853DEA"/>
    <w:rsid w:val="008540B9"/>
    <w:rsid w:val="00854192"/>
    <w:rsid w:val="0085656F"/>
    <w:rsid w:val="00856F6A"/>
    <w:rsid w:val="00857049"/>
    <w:rsid w:val="00857DF1"/>
    <w:rsid w:val="0086001A"/>
    <w:rsid w:val="008610D5"/>
    <w:rsid w:val="0086205B"/>
    <w:rsid w:val="008644A8"/>
    <w:rsid w:val="00865320"/>
    <w:rsid w:val="008664A8"/>
    <w:rsid w:val="00866F14"/>
    <w:rsid w:val="0087135F"/>
    <w:rsid w:val="008717FD"/>
    <w:rsid w:val="008721B8"/>
    <w:rsid w:val="00872D94"/>
    <w:rsid w:val="0087345D"/>
    <w:rsid w:val="0087686A"/>
    <w:rsid w:val="008777DA"/>
    <w:rsid w:val="00877CE9"/>
    <w:rsid w:val="00880364"/>
    <w:rsid w:val="008807AE"/>
    <w:rsid w:val="008809E6"/>
    <w:rsid w:val="008812B9"/>
    <w:rsid w:val="0088170B"/>
    <w:rsid w:val="00881F95"/>
    <w:rsid w:val="0088216B"/>
    <w:rsid w:val="0088231C"/>
    <w:rsid w:val="0088297B"/>
    <w:rsid w:val="00882FA6"/>
    <w:rsid w:val="0088346C"/>
    <w:rsid w:val="008855CA"/>
    <w:rsid w:val="0088596F"/>
    <w:rsid w:val="00885B23"/>
    <w:rsid w:val="0088683F"/>
    <w:rsid w:val="00887CEC"/>
    <w:rsid w:val="00890359"/>
    <w:rsid w:val="00890A3D"/>
    <w:rsid w:val="00890B1B"/>
    <w:rsid w:val="00891592"/>
    <w:rsid w:val="00891E9E"/>
    <w:rsid w:val="0089228F"/>
    <w:rsid w:val="008938D7"/>
    <w:rsid w:val="00895352"/>
    <w:rsid w:val="00895E58"/>
    <w:rsid w:val="00896A6F"/>
    <w:rsid w:val="00896B3D"/>
    <w:rsid w:val="00897207"/>
    <w:rsid w:val="0089752D"/>
    <w:rsid w:val="008A098F"/>
    <w:rsid w:val="008A0ABF"/>
    <w:rsid w:val="008A21EE"/>
    <w:rsid w:val="008A282E"/>
    <w:rsid w:val="008A2CCA"/>
    <w:rsid w:val="008A2F68"/>
    <w:rsid w:val="008A3414"/>
    <w:rsid w:val="008A347F"/>
    <w:rsid w:val="008A395B"/>
    <w:rsid w:val="008A41A8"/>
    <w:rsid w:val="008A5381"/>
    <w:rsid w:val="008A55FE"/>
    <w:rsid w:val="008A5D41"/>
    <w:rsid w:val="008A5D76"/>
    <w:rsid w:val="008A7A74"/>
    <w:rsid w:val="008B1008"/>
    <w:rsid w:val="008B1125"/>
    <w:rsid w:val="008B1170"/>
    <w:rsid w:val="008B2644"/>
    <w:rsid w:val="008B38D9"/>
    <w:rsid w:val="008B3E20"/>
    <w:rsid w:val="008B4FA6"/>
    <w:rsid w:val="008B5282"/>
    <w:rsid w:val="008B79C2"/>
    <w:rsid w:val="008B7C17"/>
    <w:rsid w:val="008C1600"/>
    <w:rsid w:val="008C1AEE"/>
    <w:rsid w:val="008C2B56"/>
    <w:rsid w:val="008C2D01"/>
    <w:rsid w:val="008C35E2"/>
    <w:rsid w:val="008C40E6"/>
    <w:rsid w:val="008C4E26"/>
    <w:rsid w:val="008C72D3"/>
    <w:rsid w:val="008D0F7A"/>
    <w:rsid w:val="008D15D8"/>
    <w:rsid w:val="008D1A1E"/>
    <w:rsid w:val="008D20FC"/>
    <w:rsid w:val="008D2D3F"/>
    <w:rsid w:val="008D5B09"/>
    <w:rsid w:val="008D68E4"/>
    <w:rsid w:val="008E0506"/>
    <w:rsid w:val="008E0957"/>
    <w:rsid w:val="008E0CFF"/>
    <w:rsid w:val="008E113B"/>
    <w:rsid w:val="008E2E57"/>
    <w:rsid w:val="008E40F6"/>
    <w:rsid w:val="008E55EC"/>
    <w:rsid w:val="008E5D6B"/>
    <w:rsid w:val="008E616A"/>
    <w:rsid w:val="008E6C61"/>
    <w:rsid w:val="008E76F0"/>
    <w:rsid w:val="008E77C7"/>
    <w:rsid w:val="008F15FE"/>
    <w:rsid w:val="008F2D29"/>
    <w:rsid w:val="008F434B"/>
    <w:rsid w:val="008F5187"/>
    <w:rsid w:val="008F5A13"/>
    <w:rsid w:val="008F5AB4"/>
    <w:rsid w:val="008F60D8"/>
    <w:rsid w:val="00902727"/>
    <w:rsid w:val="0090312B"/>
    <w:rsid w:val="00903CE0"/>
    <w:rsid w:val="0090470C"/>
    <w:rsid w:val="00906786"/>
    <w:rsid w:val="00906F87"/>
    <w:rsid w:val="009078B6"/>
    <w:rsid w:val="00907997"/>
    <w:rsid w:val="00911739"/>
    <w:rsid w:val="00911EFD"/>
    <w:rsid w:val="00913610"/>
    <w:rsid w:val="00914E3F"/>
    <w:rsid w:val="00915831"/>
    <w:rsid w:val="00916F0F"/>
    <w:rsid w:val="0091736D"/>
    <w:rsid w:val="00920750"/>
    <w:rsid w:val="00920A4D"/>
    <w:rsid w:val="00922250"/>
    <w:rsid w:val="0092290E"/>
    <w:rsid w:val="00922A34"/>
    <w:rsid w:val="009242E0"/>
    <w:rsid w:val="00924D1C"/>
    <w:rsid w:val="00925069"/>
    <w:rsid w:val="00925DA7"/>
    <w:rsid w:val="00925FD5"/>
    <w:rsid w:val="009263B8"/>
    <w:rsid w:val="00926BA3"/>
    <w:rsid w:val="0092733D"/>
    <w:rsid w:val="00927948"/>
    <w:rsid w:val="00927DDE"/>
    <w:rsid w:val="00930024"/>
    <w:rsid w:val="0093037A"/>
    <w:rsid w:val="00931080"/>
    <w:rsid w:val="009313EF"/>
    <w:rsid w:val="00931477"/>
    <w:rsid w:val="00932C58"/>
    <w:rsid w:val="00932F24"/>
    <w:rsid w:val="0093362A"/>
    <w:rsid w:val="009348F3"/>
    <w:rsid w:val="009349E2"/>
    <w:rsid w:val="00937140"/>
    <w:rsid w:val="00937145"/>
    <w:rsid w:val="00940473"/>
    <w:rsid w:val="00940CE4"/>
    <w:rsid w:val="0094154D"/>
    <w:rsid w:val="009420EC"/>
    <w:rsid w:val="00943FA0"/>
    <w:rsid w:val="009442CC"/>
    <w:rsid w:val="009446F3"/>
    <w:rsid w:val="00944C54"/>
    <w:rsid w:val="009455C4"/>
    <w:rsid w:val="00945DE8"/>
    <w:rsid w:val="00946810"/>
    <w:rsid w:val="009479B6"/>
    <w:rsid w:val="00950045"/>
    <w:rsid w:val="0095155F"/>
    <w:rsid w:val="0095251B"/>
    <w:rsid w:val="00954429"/>
    <w:rsid w:val="00955282"/>
    <w:rsid w:val="00955DF4"/>
    <w:rsid w:val="009563CE"/>
    <w:rsid w:val="0095742C"/>
    <w:rsid w:val="00957C47"/>
    <w:rsid w:val="0096158F"/>
    <w:rsid w:val="00961617"/>
    <w:rsid w:val="009625D2"/>
    <w:rsid w:val="00965ECE"/>
    <w:rsid w:val="0096664A"/>
    <w:rsid w:val="009707E3"/>
    <w:rsid w:val="00970947"/>
    <w:rsid w:val="00971731"/>
    <w:rsid w:val="009739EC"/>
    <w:rsid w:val="00976235"/>
    <w:rsid w:val="00976328"/>
    <w:rsid w:val="0097680D"/>
    <w:rsid w:val="009770E7"/>
    <w:rsid w:val="009770E8"/>
    <w:rsid w:val="00977246"/>
    <w:rsid w:val="00977664"/>
    <w:rsid w:val="009800A3"/>
    <w:rsid w:val="009821EB"/>
    <w:rsid w:val="00982438"/>
    <w:rsid w:val="00982B2B"/>
    <w:rsid w:val="00983F95"/>
    <w:rsid w:val="0098404C"/>
    <w:rsid w:val="0098449D"/>
    <w:rsid w:val="00984839"/>
    <w:rsid w:val="00985283"/>
    <w:rsid w:val="00985907"/>
    <w:rsid w:val="00985EC2"/>
    <w:rsid w:val="009868C3"/>
    <w:rsid w:val="00990C1A"/>
    <w:rsid w:val="0099362A"/>
    <w:rsid w:val="00995015"/>
    <w:rsid w:val="00995992"/>
    <w:rsid w:val="00996F2A"/>
    <w:rsid w:val="009A03E5"/>
    <w:rsid w:val="009A0645"/>
    <w:rsid w:val="009A0F3B"/>
    <w:rsid w:val="009A1BB4"/>
    <w:rsid w:val="009A2628"/>
    <w:rsid w:val="009A2E96"/>
    <w:rsid w:val="009A3200"/>
    <w:rsid w:val="009A3D6C"/>
    <w:rsid w:val="009A41DD"/>
    <w:rsid w:val="009A42AE"/>
    <w:rsid w:val="009A5968"/>
    <w:rsid w:val="009A60FF"/>
    <w:rsid w:val="009B0208"/>
    <w:rsid w:val="009B0897"/>
    <w:rsid w:val="009B2C60"/>
    <w:rsid w:val="009B2C94"/>
    <w:rsid w:val="009B3C94"/>
    <w:rsid w:val="009B48D3"/>
    <w:rsid w:val="009B5CCB"/>
    <w:rsid w:val="009B621E"/>
    <w:rsid w:val="009B74D2"/>
    <w:rsid w:val="009B7BD9"/>
    <w:rsid w:val="009C1946"/>
    <w:rsid w:val="009C2A17"/>
    <w:rsid w:val="009C2E22"/>
    <w:rsid w:val="009C3096"/>
    <w:rsid w:val="009C335A"/>
    <w:rsid w:val="009C364B"/>
    <w:rsid w:val="009C38CC"/>
    <w:rsid w:val="009C4BC4"/>
    <w:rsid w:val="009C52CA"/>
    <w:rsid w:val="009C55E9"/>
    <w:rsid w:val="009C7981"/>
    <w:rsid w:val="009C7AC1"/>
    <w:rsid w:val="009C7DD5"/>
    <w:rsid w:val="009D05F7"/>
    <w:rsid w:val="009D1A7A"/>
    <w:rsid w:val="009D3091"/>
    <w:rsid w:val="009D389A"/>
    <w:rsid w:val="009D4FA7"/>
    <w:rsid w:val="009D587F"/>
    <w:rsid w:val="009D7720"/>
    <w:rsid w:val="009E0D6D"/>
    <w:rsid w:val="009E156E"/>
    <w:rsid w:val="009E1B53"/>
    <w:rsid w:val="009E227D"/>
    <w:rsid w:val="009E251D"/>
    <w:rsid w:val="009E2866"/>
    <w:rsid w:val="009E4A29"/>
    <w:rsid w:val="009E5019"/>
    <w:rsid w:val="009E51C6"/>
    <w:rsid w:val="009E61B3"/>
    <w:rsid w:val="009F1010"/>
    <w:rsid w:val="009F225C"/>
    <w:rsid w:val="009F70FE"/>
    <w:rsid w:val="00A01116"/>
    <w:rsid w:val="00A01A83"/>
    <w:rsid w:val="00A02E72"/>
    <w:rsid w:val="00A02F5C"/>
    <w:rsid w:val="00A03999"/>
    <w:rsid w:val="00A04F1B"/>
    <w:rsid w:val="00A0501B"/>
    <w:rsid w:val="00A058FC"/>
    <w:rsid w:val="00A06E41"/>
    <w:rsid w:val="00A071AA"/>
    <w:rsid w:val="00A07DBA"/>
    <w:rsid w:val="00A134EE"/>
    <w:rsid w:val="00A14947"/>
    <w:rsid w:val="00A17182"/>
    <w:rsid w:val="00A17910"/>
    <w:rsid w:val="00A2072A"/>
    <w:rsid w:val="00A20E53"/>
    <w:rsid w:val="00A2271D"/>
    <w:rsid w:val="00A227E8"/>
    <w:rsid w:val="00A22E1D"/>
    <w:rsid w:val="00A24010"/>
    <w:rsid w:val="00A240E3"/>
    <w:rsid w:val="00A25667"/>
    <w:rsid w:val="00A25A15"/>
    <w:rsid w:val="00A25C6B"/>
    <w:rsid w:val="00A26A17"/>
    <w:rsid w:val="00A27E55"/>
    <w:rsid w:val="00A30935"/>
    <w:rsid w:val="00A315DE"/>
    <w:rsid w:val="00A31C28"/>
    <w:rsid w:val="00A322F6"/>
    <w:rsid w:val="00A32A14"/>
    <w:rsid w:val="00A32A83"/>
    <w:rsid w:val="00A33B63"/>
    <w:rsid w:val="00A35B77"/>
    <w:rsid w:val="00A35FCD"/>
    <w:rsid w:val="00A36291"/>
    <w:rsid w:val="00A364B9"/>
    <w:rsid w:val="00A368DB"/>
    <w:rsid w:val="00A36F6E"/>
    <w:rsid w:val="00A404BD"/>
    <w:rsid w:val="00A40D17"/>
    <w:rsid w:val="00A40EFC"/>
    <w:rsid w:val="00A40F27"/>
    <w:rsid w:val="00A4207D"/>
    <w:rsid w:val="00A423AA"/>
    <w:rsid w:val="00A43245"/>
    <w:rsid w:val="00A43F54"/>
    <w:rsid w:val="00A44682"/>
    <w:rsid w:val="00A452E7"/>
    <w:rsid w:val="00A45C0D"/>
    <w:rsid w:val="00A52248"/>
    <w:rsid w:val="00A52E2E"/>
    <w:rsid w:val="00A53EC6"/>
    <w:rsid w:val="00A54611"/>
    <w:rsid w:val="00A55798"/>
    <w:rsid w:val="00A55C0F"/>
    <w:rsid w:val="00A55EFB"/>
    <w:rsid w:val="00A60144"/>
    <w:rsid w:val="00A61F30"/>
    <w:rsid w:val="00A6278C"/>
    <w:rsid w:val="00A62A09"/>
    <w:rsid w:val="00A630A1"/>
    <w:rsid w:val="00A64884"/>
    <w:rsid w:val="00A6681E"/>
    <w:rsid w:val="00A66F28"/>
    <w:rsid w:val="00A671D8"/>
    <w:rsid w:val="00A671F5"/>
    <w:rsid w:val="00A71C17"/>
    <w:rsid w:val="00A72C82"/>
    <w:rsid w:val="00A7321E"/>
    <w:rsid w:val="00A7400A"/>
    <w:rsid w:val="00A7643E"/>
    <w:rsid w:val="00A77415"/>
    <w:rsid w:val="00A77A6F"/>
    <w:rsid w:val="00A80290"/>
    <w:rsid w:val="00A806C7"/>
    <w:rsid w:val="00A81B60"/>
    <w:rsid w:val="00A81D1E"/>
    <w:rsid w:val="00A821A7"/>
    <w:rsid w:val="00A83F43"/>
    <w:rsid w:val="00A85399"/>
    <w:rsid w:val="00A85536"/>
    <w:rsid w:val="00A85896"/>
    <w:rsid w:val="00A862FF"/>
    <w:rsid w:val="00A8713F"/>
    <w:rsid w:val="00A87F74"/>
    <w:rsid w:val="00A90BA1"/>
    <w:rsid w:val="00A910AA"/>
    <w:rsid w:val="00A91FAA"/>
    <w:rsid w:val="00A9371E"/>
    <w:rsid w:val="00A95F7B"/>
    <w:rsid w:val="00A96560"/>
    <w:rsid w:val="00A96AC6"/>
    <w:rsid w:val="00A96BA7"/>
    <w:rsid w:val="00A97A9A"/>
    <w:rsid w:val="00AA0671"/>
    <w:rsid w:val="00AA1A8F"/>
    <w:rsid w:val="00AA22A9"/>
    <w:rsid w:val="00AA22B2"/>
    <w:rsid w:val="00AA2531"/>
    <w:rsid w:val="00AA2D3E"/>
    <w:rsid w:val="00AA3639"/>
    <w:rsid w:val="00AA4733"/>
    <w:rsid w:val="00AA73E7"/>
    <w:rsid w:val="00AB0349"/>
    <w:rsid w:val="00AB1E09"/>
    <w:rsid w:val="00AB5330"/>
    <w:rsid w:val="00AB6064"/>
    <w:rsid w:val="00AB6989"/>
    <w:rsid w:val="00AB7747"/>
    <w:rsid w:val="00AC035B"/>
    <w:rsid w:val="00AC14CE"/>
    <w:rsid w:val="00AC1B19"/>
    <w:rsid w:val="00AC1F1F"/>
    <w:rsid w:val="00AC2A56"/>
    <w:rsid w:val="00AC2AF9"/>
    <w:rsid w:val="00AC3222"/>
    <w:rsid w:val="00AC42D4"/>
    <w:rsid w:val="00AC5100"/>
    <w:rsid w:val="00AC547D"/>
    <w:rsid w:val="00AC5B38"/>
    <w:rsid w:val="00AC5C55"/>
    <w:rsid w:val="00AC5D8D"/>
    <w:rsid w:val="00AC78B6"/>
    <w:rsid w:val="00AD055E"/>
    <w:rsid w:val="00AD0600"/>
    <w:rsid w:val="00AD1A15"/>
    <w:rsid w:val="00AD1E50"/>
    <w:rsid w:val="00AD1EDF"/>
    <w:rsid w:val="00AD37C8"/>
    <w:rsid w:val="00AD3F75"/>
    <w:rsid w:val="00AD47A7"/>
    <w:rsid w:val="00AD56DE"/>
    <w:rsid w:val="00AD603B"/>
    <w:rsid w:val="00AD60DC"/>
    <w:rsid w:val="00AE0A33"/>
    <w:rsid w:val="00AE0C28"/>
    <w:rsid w:val="00AE1FF1"/>
    <w:rsid w:val="00AE69FD"/>
    <w:rsid w:val="00AE6C56"/>
    <w:rsid w:val="00AE6F4B"/>
    <w:rsid w:val="00AE7C3E"/>
    <w:rsid w:val="00AF0CBF"/>
    <w:rsid w:val="00AF21E7"/>
    <w:rsid w:val="00AF257F"/>
    <w:rsid w:val="00AF2B67"/>
    <w:rsid w:val="00AF33CF"/>
    <w:rsid w:val="00AF35C1"/>
    <w:rsid w:val="00AF3B5F"/>
    <w:rsid w:val="00AF42E1"/>
    <w:rsid w:val="00AF4D50"/>
    <w:rsid w:val="00AF56FD"/>
    <w:rsid w:val="00AF59B4"/>
    <w:rsid w:val="00AF6179"/>
    <w:rsid w:val="00AF7914"/>
    <w:rsid w:val="00B00BC0"/>
    <w:rsid w:val="00B01FDE"/>
    <w:rsid w:val="00B032F7"/>
    <w:rsid w:val="00B0337F"/>
    <w:rsid w:val="00B06F11"/>
    <w:rsid w:val="00B0749F"/>
    <w:rsid w:val="00B0750E"/>
    <w:rsid w:val="00B10510"/>
    <w:rsid w:val="00B12048"/>
    <w:rsid w:val="00B1295A"/>
    <w:rsid w:val="00B15780"/>
    <w:rsid w:val="00B15EFE"/>
    <w:rsid w:val="00B1683F"/>
    <w:rsid w:val="00B16976"/>
    <w:rsid w:val="00B20A45"/>
    <w:rsid w:val="00B2187C"/>
    <w:rsid w:val="00B2237C"/>
    <w:rsid w:val="00B22C5C"/>
    <w:rsid w:val="00B23000"/>
    <w:rsid w:val="00B23C81"/>
    <w:rsid w:val="00B24B9D"/>
    <w:rsid w:val="00B24F30"/>
    <w:rsid w:val="00B2547A"/>
    <w:rsid w:val="00B255B4"/>
    <w:rsid w:val="00B26393"/>
    <w:rsid w:val="00B267D6"/>
    <w:rsid w:val="00B30A83"/>
    <w:rsid w:val="00B31ABF"/>
    <w:rsid w:val="00B31BAD"/>
    <w:rsid w:val="00B32F4F"/>
    <w:rsid w:val="00B333A8"/>
    <w:rsid w:val="00B33BE3"/>
    <w:rsid w:val="00B347CD"/>
    <w:rsid w:val="00B36336"/>
    <w:rsid w:val="00B363DD"/>
    <w:rsid w:val="00B3671D"/>
    <w:rsid w:val="00B36E5C"/>
    <w:rsid w:val="00B40AF8"/>
    <w:rsid w:val="00B40FD6"/>
    <w:rsid w:val="00B41E02"/>
    <w:rsid w:val="00B42C71"/>
    <w:rsid w:val="00B43654"/>
    <w:rsid w:val="00B43F80"/>
    <w:rsid w:val="00B441A7"/>
    <w:rsid w:val="00B45DBD"/>
    <w:rsid w:val="00B4776C"/>
    <w:rsid w:val="00B4798B"/>
    <w:rsid w:val="00B502A6"/>
    <w:rsid w:val="00B52A33"/>
    <w:rsid w:val="00B53B5D"/>
    <w:rsid w:val="00B54DAB"/>
    <w:rsid w:val="00B55088"/>
    <w:rsid w:val="00B56D18"/>
    <w:rsid w:val="00B56E1E"/>
    <w:rsid w:val="00B6055E"/>
    <w:rsid w:val="00B61145"/>
    <w:rsid w:val="00B61432"/>
    <w:rsid w:val="00B62603"/>
    <w:rsid w:val="00B62620"/>
    <w:rsid w:val="00B626C0"/>
    <w:rsid w:val="00B62A22"/>
    <w:rsid w:val="00B62B61"/>
    <w:rsid w:val="00B6317D"/>
    <w:rsid w:val="00B645FE"/>
    <w:rsid w:val="00B65C38"/>
    <w:rsid w:val="00B66D99"/>
    <w:rsid w:val="00B70B39"/>
    <w:rsid w:val="00B755C8"/>
    <w:rsid w:val="00B75CD3"/>
    <w:rsid w:val="00B7723F"/>
    <w:rsid w:val="00B77CAA"/>
    <w:rsid w:val="00B80534"/>
    <w:rsid w:val="00B806D4"/>
    <w:rsid w:val="00B8163A"/>
    <w:rsid w:val="00B817A4"/>
    <w:rsid w:val="00B81856"/>
    <w:rsid w:val="00B81C91"/>
    <w:rsid w:val="00B81EEB"/>
    <w:rsid w:val="00B837AF"/>
    <w:rsid w:val="00B8433C"/>
    <w:rsid w:val="00B848D7"/>
    <w:rsid w:val="00B85C07"/>
    <w:rsid w:val="00B866BA"/>
    <w:rsid w:val="00B86FDB"/>
    <w:rsid w:val="00B87423"/>
    <w:rsid w:val="00B87491"/>
    <w:rsid w:val="00B874FB"/>
    <w:rsid w:val="00B8753B"/>
    <w:rsid w:val="00B87C47"/>
    <w:rsid w:val="00B9124F"/>
    <w:rsid w:val="00B91995"/>
    <w:rsid w:val="00B92400"/>
    <w:rsid w:val="00B92AB5"/>
    <w:rsid w:val="00B92F0C"/>
    <w:rsid w:val="00B94C36"/>
    <w:rsid w:val="00B96E78"/>
    <w:rsid w:val="00BA0DE5"/>
    <w:rsid w:val="00BA124C"/>
    <w:rsid w:val="00BA2208"/>
    <w:rsid w:val="00BA239C"/>
    <w:rsid w:val="00BA297E"/>
    <w:rsid w:val="00BA29E9"/>
    <w:rsid w:val="00BA2EFC"/>
    <w:rsid w:val="00BA42AB"/>
    <w:rsid w:val="00BA6AA2"/>
    <w:rsid w:val="00BA7142"/>
    <w:rsid w:val="00BB0238"/>
    <w:rsid w:val="00BB0403"/>
    <w:rsid w:val="00BB044A"/>
    <w:rsid w:val="00BB0496"/>
    <w:rsid w:val="00BB0DD9"/>
    <w:rsid w:val="00BB110B"/>
    <w:rsid w:val="00BB202A"/>
    <w:rsid w:val="00BB237C"/>
    <w:rsid w:val="00BB26AD"/>
    <w:rsid w:val="00BB3B77"/>
    <w:rsid w:val="00BB3CAD"/>
    <w:rsid w:val="00BB3FB8"/>
    <w:rsid w:val="00BB41A3"/>
    <w:rsid w:val="00BB42F0"/>
    <w:rsid w:val="00BB48B3"/>
    <w:rsid w:val="00BB4E38"/>
    <w:rsid w:val="00BB4EFB"/>
    <w:rsid w:val="00BB5E4D"/>
    <w:rsid w:val="00BB6AF0"/>
    <w:rsid w:val="00BC05D7"/>
    <w:rsid w:val="00BC1AF8"/>
    <w:rsid w:val="00BC23ED"/>
    <w:rsid w:val="00BC32DC"/>
    <w:rsid w:val="00BC33D9"/>
    <w:rsid w:val="00BC3400"/>
    <w:rsid w:val="00BC35B6"/>
    <w:rsid w:val="00BC3B04"/>
    <w:rsid w:val="00BC3EF1"/>
    <w:rsid w:val="00BC5BBD"/>
    <w:rsid w:val="00BC5FB9"/>
    <w:rsid w:val="00BC63CF"/>
    <w:rsid w:val="00BC706D"/>
    <w:rsid w:val="00BC7DA1"/>
    <w:rsid w:val="00BD0B3D"/>
    <w:rsid w:val="00BD1B51"/>
    <w:rsid w:val="00BD4596"/>
    <w:rsid w:val="00BD45EA"/>
    <w:rsid w:val="00BD6268"/>
    <w:rsid w:val="00BD6669"/>
    <w:rsid w:val="00BD7E26"/>
    <w:rsid w:val="00BE0B65"/>
    <w:rsid w:val="00BE13DB"/>
    <w:rsid w:val="00BE1405"/>
    <w:rsid w:val="00BE312D"/>
    <w:rsid w:val="00BE5107"/>
    <w:rsid w:val="00BE7234"/>
    <w:rsid w:val="00BE7244"/>
    <w:rsid w:val="00BF0BC4"/>
    <w:rsid w:val="00BF1C20"/>
    <w:rsid w:val="00BF4A72"/>
    <w:rsid w:val="00BF4BA8"/>
    <w:rsid w:val="00BF51ED"/>
    <w:rsid w:val="00BF52BD"/>
    <w:rsid w:val="00BF79E8"/>
    <w:rsid w:val="00BF7CBD"/>
    <w:rsid w:val="00C00B30"/>
    <w:rsid w:val="00C00D9F"/>
    <w:rsid w:val="00C02CD5"/>
    <w:rsid w:val="00C03C29"/>
    <w:rsid w:val="00C04485"/>
    <w:rsid w:val="00C047E0"/>
    <w:rsid w:val="00C04FAB"/>
    <w:rsid w:val="00C10578"/>
    <w:rsid w:val="00C115FB"/>
    <w:rsid w:val="00C135BC"/>
    <w:rsid w:val="00C136C0"/>
    <w:rsid w:val="00C13BCC"/>
    <w:rsid w:val="00C13BCE"/>
    <w:rsid w:val="00C1549B"/>
    <w:rsid w:val="00C15663"/>
    <w:rsid w:val="00C157C4"/>
    <w:rsid w:val="00C15895"/>
    <w:rsid w:val="00C15C95"/>
    <w:rsid w:val="00C15DA9"/>
    <w:rsid w:val="00C1631D"/>
    <w:rsid w:val="00C17A9F"/>
    <w:rsid w:val="00C2128F"/>
    <w:rsid w:val="00C22190"/>
    <w:rsid w:val="00C223AF"/>
    <w:rsid w:val="00C24301"/>
    <w:rsid w:val="00C24C96"/>
    <w:rsid w:val="00C2596A"/>
    <w:rsid w:val="00C25F6E"/>
    <w:rsid w:val="00C2747D"/>
    <w:rsid w:val="00C27537"/>
    <w:rsid w:val="00C2774B"/>
    <w:rsid w:val="00C305EB"/>
    <w:rsid w:val="00C30B06"/>
    <w:rsid w:val="00C30BED"/>
    <w:rsid w:val="00C3122F"/>
    <w:rsid w:val="00C328D0"/>
    <w:rsid w:val="00C328FE"/>
    <w:rsid w:val="00C32B63"/>
    <w:rsid w:val="00C333AA"/>
    <w:rsid w:val="00C33507"/>
    <w:rsid w:val="00C34AB0"/>
    <w:rsid w:val="00C354FC"/>
    <w:rsid w:val="00C40651"/>
    <w:rsid w:val="00C4327F"/>
    <w:rsid w:val="00C4409D"/>
    <w:rsid w:val="00C44E72"/>
    <w:rsid w:val="00C45050"/>
    <w:rsid w:val="00C454D5"/>
    <w:rsid w:val="00C455BA"/>
    <w:rsid w:val="00C45A06"/>
    <w:rsid w:val="00C4604C"/>
    <w:rsid w:val="00C46AB4"/>
    <w:rsid w:val="00C47E5B"/>
    <w:rsid w:val="00C50E1E"/>
    <w:rsid w:val="00C55E08"/>
    <w:rsid w:val="00C568D4"/>
    <w:rsid w:val="00C57322"/>
    <w:rsid w:val="00C60320"/>
    <w:rsid w:val="00C60454"/>
    <w:rsid w:val="00C61E4B"/>
    <w:rsid w:val="00C61EB9"/>
    <w:rsid w:val="00C62F25"/>
    <w:rsid w:val="00C64BFF"/>
    <w:rsid w:val="00C64FDC"/>
    <w:rsid w:val="00C67246"/>
    <w:rsid w:val="00C67932"/>
    <w:rsid w:val="00C704E9"/>
    <w:rsid w:val="00C718C0"/>
    <w:rsid w:val="00C71AD5"/>
    <w:rsid w:val="00C7365C"/>
    <w:rsid w:val="00C74C1D"/>
    <w:rsid w:val="00C75D5E"/>
    <w:rsid w:val="00C763C9"/>
    <w:rsid w:val="00C778CF"/>
    <w:rsid w:val="00C80057"/>
    <w:rsid w:val="00C8007C"/>
    <w:rsid w:val="00C806AB"/>
    <w:rsid w:val="00C82232"/>
    <w:rsid w:val="00C823C4"/>
    <w:rsid w:val="00C82913"/>
    <w:rsid w:val="00C83420"/>
    <w:rsid w:val="00C83F92"/>
    <w:rsid w:val="00C85281"/>
    <w:rsid w:val="00C858CF"/>
    <w:rsid w:val="00C85F20"/>
    <w:rsid w:val="00C87747"/>
    <w:rsid w:val="00C87F03"/>
    <w:rsid w:val="00C90530"/>
    <w:rsid w:val="00C913B6"/>
    <w:rsid w:val="00C913FA"/>
    <w:rsid w:val="00C920C1"/>
    <w:rsid w:val="00C928F1"/>
    <w:rsid w:val="00C92F0C"/>
    <w:rsid w:val="00C94137"/>
    <w:rsid w:val="00C950BA"/>
    <w:rsid w:val="00C95963"/>
    <w:rsid w:val="00C97068"/>
    <w:rsid w:val="00C972B1"/>
    <w:rsid w:val="00C977FD"/>
    <w:rsid w:val="00C97D8A"/>
    <w:rsid w:val="00CA19BB"/>
    <w:rsid w:val="00CA2CCE"/>
    <w:rsid w:val="00CA43FD"/>
    <w:rsid w:val="00CA4457"/>
    <w:rsid w:val="00CA4CEC"/>
    <w:rsid w:val="00CA57A7"/>
    <w:rsid w:val="00CA613C"/>
    <w:rsid w:val="00CA72E4"/>
    <w:rsid w:val="00CA7AB0"/>
    <w:rsid w:val="00CA7EF8"/>
    <w:rsid w:val="00CB2216"/>
    <w:rsid w:val="00CB2836"/>
    <w:rsid w:val="00CB28C0"/>
    <w:rsid w:val="00CB2AA8"/>
    <w:rsid w:val="00CB2C62"/>
    <w:rsid w:val="00CB2CB7"/>
    <w:rsid w:val="00CB3029"/>
    <w:rsid w:val="00CB592E"/>
    <w:rsid w:val="00CB65E1"/>
    <w:rsid w:val="00CB667B"/>
    <w:rsid w:val="00CB6FBC"/>
    <w:rsid w:val="00CB77BE"/>
    <w:rsid w:val="00CB7B3C"/>
    <w:rsid w:val="00CC0494"/>
    <w:rsid w:val="00CC1239"/>
    <w:rsid w:val="00CC1442"/>
    <w:rsid w:val="00CC2334"/>
    <w:rsid w:val="00CC4819"/>
    <w:rsid w:val="00CC489B"/>
    <w:rsid w:val="00CC4B46"/>
    <w:rsid w:val="00CC5373"/>
    <w:rsid w:val="00CC559C"/>
    <w:rsid w:val="00CC6A80"/>
    <w:rsid w:val="00CD0655"/>
    <w:rsid w:val="00CD0FAF"/>
    <w:rsid w:val="00CD121E"/>
    <w:rsid w:val="00CD1548"/>
    <w:rsid w:val="00CD1788"/>
    <w:rsid w:val="00CD22B5"/>
    <w:rsid w:val="00CD26C3"/>
    <w:rsid w:val="00CD2BCD"/>
    <w:rsid w:val="00CD2C38"/>
    <w:rsid w:val="00CD33A1"/>
    <w:rsid w:val="00CD3A4C"/>
    <w:rsid w:val="00CD6EA2"/>
    <w:rsid w:val="00CD741B"/>
    <w:rsid w:val="00CE10E9"/>
    <w:rsid w:val="00CE1354"/>
    <w:rsid w:val="00CE15CD"/>
    <w:rsid w:val="00CE1DDF"/>
    <w:rsid w:val="00CE1FBD"/>
    <w:rsid w:val="00CE2910"/>
    <w:rsid w:val="00CE374B"/>
    <w:rsid w:val="00CE3CBC"/>
    <w:rsid w:val="00CE47C5"/>
    <w:rsid w:val="00CE4A42"/>
    <w:rsid w:val="00CE5004"/>
    <w:rsid w:val="00CE5393"/>
    <w:rsid w:val="00CE7213"/>
    <w:rsid w:val="00CF0079"/>
    <w:rsid w:val="00CF1505"/>
    <w:rsid w:val="00CF24AD"/>
    <w:rsid w:val="00CF26B2"/>
    <w:rsid w:val="00CF36BE"/>
    <w:rsid w:val="00CF37F1"/>
    <w:rsid w:val="00CF443E"/>
    <w:rsid w:val="00CF552B"/>
    <w:rsid w:val="00CF5BE8"/>
    <w:rsid w:val="00CF6000"/>
    <w:rsid w:val="00CF62F9"/>
    <w:rsid w:val="00CF7325"/>
    <w:rsid w:val="00CF7EB0"/>
    <w:rsid w:val="00D003F3"/>
    <w:rsid w:val="00D00C6E"/>
    <w:rsid w:val="00D01278"/>
    <w:rsid w:val="00D018F2"/>
    <w:rsid w:val="00D030F1"/>
    <w:rsid w:val="00D0364F"/>
    <w:rsid w:val="00D04947"/>
    <w:rsid w:val="00D04C99"/>
    <w:rsid w:val="00D059A2"/>
    <w:rsid w:val="00D06164"/>
    <w:rsid w:val="00D0633C"/>
    <w:rsid w:val="00D06834"/>
    <w:rsid w:val="00D11F6F"/>
    <w:rsid w:val="00D1206B"/>
    <w:rsid w:val="00D13392"/>
    <w:rsid w:val="00D14617"/>
    <w:rsid w:val="00D14AAA"/>
    <w:rsid w:val="00D14B1A"/>
    <w:rsid w:val="00D14C60"/>
    <w:rsid w:val="00D14D61"/>
    <w:rsid w:val="00D157A0"/>
    <w:rsid w:val="00D16525"/>
    <w:rsid w:val="00D16930"/>
    <w:rsid w:val="00D1790B"/>
    <w:rsid w:val="00D17F43"/>
    <w:rsid w:val="00D20795"/>
    <w:rsid w:val="00D2110D"/>
    <w:rsid w:val="00D2131B"/>
    <w:rsid w:val="00D21772"/>
    <w:rsid w:val="00D22FAA"/>
    <w:rsid w:val="00D24BDB"/>
    <w:rsid w:val="00D26D9F"/>
    <w:rsid w:val="00D274FE"/>
    <w:rsid w:val="00D27B17"/>
    <w:rsid w:val="00D307EF"/>
    <w:rsid w:val="00D308ED"/>
    <w:rsid w:val="00D30911"/>
    <w:rsid w:val="00D322C4"/>
    <w:rsid w:val="00D32844"/>
    <w:rsid w:val="00D32DAA"/>
    <w:rsid w:val="00D34737"/>
    <w:rsid w:val="00D35CC1"/>
    <w:rsid w:val="00D360AC"/>
    <w:rsid w:val="00D36D86"/>
    <w:rsid w:val="00D372AD"/>
    <w:rsid w:val="00D37CC5"/>
    <w:rsid w:val="00D40168"/>
    <w:rsid w:val="00D40C4F"/>
    <w:rsid w:val="00D4289A"/>
    <w:rsid w:val="00D428AA"/>
    <w:rsid w:val="00D42AE6"/>
    <w:rsid w:val="00D4479D"/>
    <w:rsid w:val="00D45B8B"/>
    <w:rsid w:val="00D463B5"/>
    <w:rsid w:val="00D50A34"/>
    <w:rsid w:val="00D525A4"/>
    <w:rsid w:val="00D52B99"/>
    <w:rsid w:val="00D52C26"/>
    <w:rsid w:val="00D53126"/>
    <w:rsid w:val="00D53870"/>
    <w:rsid w:val="00D53DB3"/>
    <w:rsid w:val="00D53EFA"/>
    <w:rsid w:val="00D54855"/>
    <w:rsid w:val="00D559EC"/>
    <w:rsid w:val="00D56572"/>
    <w:rsid w:val="00D56BB6"/>
    <w:rsid w:val="00D57ECE"/>
    <w:rsid w:val="00D60C2F"/>
    <w:rsid w:val="00D612C4"/>
    <w:rsid w:val="00D6138B"/>
    <w:rsid w:val="00D64301"/>
    <w:rsid w:val="00D64595"/>
    <w:rsid w:val="00D65064"/>
    <w:rsid w:val="00D655E5"/>
    <w:rsid w:val="00D65FA5"/>
    <w:rsid w:val="00D6642B"/>
    <w:rsid w:val="00D669B2"/>
    <w:rsid w:val="00D66D8F"/>
    <w:rsid w:val="00D67D0C"/>
    <w:rsid w:val="00D737B4"/>
    <w:rsid w:val="00D743B5"/>
    <w:rsid w:val="00D74985"/>
    <w:rsid w:val="00D7695B"/>
    <w:rsid w:val="00D77F0B"/>
    <w:rsid w:val="00D80679"/>
    <w:rsid w:val="00D81B69"/>
    <w:rsid w:val="00D81BC6"/>
    <w:rsid w:val="00D82510"/>
    <w:rsid w:val="00D857E3"/>
    <w:rsid w:val="00D862C3"/>
    <w:rsid w:val="00D86FCC"/>
    <w:rsid w:val="00D873DE"/>
    <w:rsid w:val="00D904ED"/>
    <w:rsid w:val="00D90A35"/>
    <w:rsid w:val="00D90CFD"/>
    <w:rsid w:val="00D93D3C"/>
    <w:rsid w:val="00D94103"/>
    <w:rsid w:val="00D94A7C"/>
    <w:rsid w:val="00D95896"/>
    <w:rsid w:val="00D962BF"/>
    <w:rsid w:val="00D962CB"/>
    <w:rsid w:val="00D96310"/>
    <w:rsid w:val="00D9657E"/>
    <w:rsid w:val="00D96FA4"/>
    <w:rsid w:val="00D974EC"/>
    <w:rsid w:val="00DA0221"/>
    <w:rsid w:val="00DA1292"/>
    <w:rsid w:val="00DA1D17"/>
    <w:rsid w:val="00DA24EC"/>
    <w:rsid w:val="00DA319A"/>
    <w:rsid w:val="00DA37C3"/>
    <w:rsid w:val="00DA3994"/>
    <w:rsid w:val="00DA3A30"/>
    <w:rsid w:val="00DA4336"/>
    <w:rsid w:val="00DA596E"/>
    <w:rsid w:val="00DA5CFF"/>
    <w:rsid w:val="00DA691D"/>
    <w:rsid w:val="00DA78AF"/>
    <w:rsid w:val="00DB0460"/>
    <w:rsid w:val="00DB17AB"/>
    <w:rsid w:val="00DB24AB"/>
    <w:rsid w:val="00DB2983"/>
    <w:rsid w:val="00DB30E9"/>
    <w:rsid w:val="00DB42F4"/>
    <w:rsid w:val="00DB4663"/>
    <w:rsid w:val="00DB4936"/>
    <w:rsid w:val="00DB59CD"/>
    <w:rsid w:val="00DB5E8B"/>
    <w:rsid w:val="00DB7375"/>
    <w:rsid w:val="00DB7EA2"/>
    <w:rsid w:val="00DC03F1"/>
    <w:rsid w:val="00DC1257"/>
    <w:rsid w:val="00DC1D94"/>
    <w:rsid w:val="00DC2084"/>
    <w:rsid w:val="00DC225F"/>
    <w:rsid w:val="00DC28B7"/>
    <w:rsid w:val="00DC2E4A"/>
    <w:rsid w:val="00DC3A6B"/>
    <w:rsid w:val="00DC3DC0"/>
    <w:rsid w:val="00DC5B2B"/>
    <w:rsid w:val="00DC5F6B"/>
    <w:rsid w:val="00DC69CC"/>
    <w:rsid w:val="00DC6EDC"/>
    <w:rsid w:val="00DC77BF"/>
    <w:rsid w:val="00DD079C"/>
    <w:rsid w:val="00DD1409"/>
    <w:rsid w:val="00DD1B44"/>
    <w:rsid w:val="00DD2FCD"/>
    <w:rsid w:val="00DD318D"/>
    <w:rsid w:val="00DD4024"/>
    <w:rsid w:val="00DD4220"/>
    <w:rsid w:val="00DD4438"/>
    <w:rsid w:val="00DE15F0"/>
    <w:rsid w:val="00DE1E92"/>
    <w:rsid w:val="00DE46BB"/>
    <w:rsid w:val="00DE61F7"/>
    <w:rsid w:val="00DF0D25"/>
    <w:rsid w:val="00DF1342"/>
    <w:rsid w:val="00DF21C7"/>
    <w:rsid w:val="00DF2C5A"/>
    <w:rsid w:val="00DF2E12"/>
    <w:rsid w:val="00DF2E1B"/>
    <w:rsid w:val="00DF334B"/>
    <w:rsid w:val="00DF3730"/>
    <w:rsid w:val="00DF42A4"/>
    <w:rsid w:val="00DF453B"/>
    <w:rsid w:val="00DF4597"/>
    <w:rsid w:val="00DF4CC0"/>
    <w:rsid w:val="00DF4E67"/>
    <w:rsid w:val="00DF514A"/>
    <w:rsid w:val="00DF6690"/>
    <w:rsid w:val="00DF6804"/>
    <w:rsid w:val="00DF7217"/>
    <w:rsid w:val="00DF7951"/>
    <w:rsid w:val="00E00093"/>
    <w:rsid w:val="00E00629"/>
    <w:rsid w:val="00E00E07"/>
    <w:rsid w:val="00E0358D"/>
    <w:rsid w:val="00E03ED1"/>
    <w:rsid w:val="00E04323"/>
    <w:rsid w:val="00E04900"/>
    <w:rsid w:val="00E06159"/>
    <w:rsid w:val="00E066D2"/>
    <w:rsid w:val="00E070A2"/>
    <w:rsid w:val="00E106FA"/>
    <w:rsid w:val="00E10CE9"/>
    <w:rsid w:val="00E10CFE"/>
    <w:rsid w:val="00E11AB0"/>
    <w:rsid w:val="00E131E2"/>
    <w:rsid w:val="00E142B1"/>
    <w:rsid w:val="00E143B1"/>
    <w:rsid w:val="00E15170"/>
    <w:rsid w:val="00E16FE2"/>
    <w:rsid w:val="00E17303"/>
    <w:rsid w:val="00E17589"/>
    <w:rsid w:val="00E204EA"/>
    <w:rsid w:val="00E20BDF"/>
    <w:rsid w:val="00E21E64"/>
    <w:rsid w:val="00E22393"/>
    <w:rsid w:val="00E22F63"/>
    <w:rsid w:val="00E232AA"/>
    <w:rsid w:val="00E23964"/>
    <w:rsid w:val="00E23E9D"/>
    <w:rsid w:val="00E23EFA"/>
    <w:rsid w:val="00E242C8"/>
    <w:rsid w:val="00E245AF"/>
    <w:rsid w:val="00E24A75"/>
    <w:rsid w:val="00E25869"/>
    <w:rsid w:val="00E2656A"/>
    <w:rsid w:val="00E2703B"/>
    <w:rsid w:val="00E32A86"/>
    <w:rsid w:val="00E32D5A"/>
    <w:rsid w:val="00E32E0D"/>
    <w:rsid w:val="00E3311D"/>
    <w:rsid w:val="00E33246"/>
    <w:rsid w:val="00E33396"/>
    <w:rsid w:val="00E33B91"/>
    <w:rsid w:val="00E33D42"/>
    <w:rsid w:val="00E34328"/>
    <w:rsid w:val="00E34403"/>
    <w:rsid w:val="00E350B7"/>
    <w:rsid w:val="00E36B53"/>
    <w:rsid w:val="00E37784"/>
    <w:rsid w:val="00E37D76"/>
    <w:rsid w:val="00E40880"/>
    <w:rsid w:val="00E410EF"/>
    <w:rsid w:val="00E412D0"/>
    <w:rsid w:val="00E4167F"/>
    <w:rsid w:val="00E42EE6"/>
    <w:rsid w:val="00E438C5"/>
    <w:rsid w:val="00E4426F"/>
    <w:rsid w:val="00E44C16"/>
    <w:rsid w:val="00E44C60"/>
    <w:rsid w:val="00E46AD2"/>
    <w:rsid w:val="00E50109"/>
    <w:rsid w:val="00E53A56"/>
    <w:rsid w:val="00E56322"/>
    <w:rsid w:val="00E5762E"/>
    <w:rsid w:val="00E577FF"/>
    <w:rsid w:val="00E604A0"/>
    <w:rsid w:val="00E60982"/>
    <w:rsid w:val="00E62621"/>
    <w:rsid w:val="00E62C62"/>
    <w:rsid w:val="00E63BDE"/>
    <w:rsid w:val="00E648F0"/>
    <w:rsid w:val="00E654C1"/>
    <w:rsid w:val="00E655AB"/>
    <w:rsid w:val="00E65D97"/>
    <w:rsid w:val="00E6648C"/>
    <w:rsid w:val="00E66FAF"/>
    <w:rsid w:val="00E70AD2"/>
    <w:rsid w:val="00E72A5A"/>
    <w:rsid w:val="00E73354"/>
    <w:rsid w:val="00E748D1"/>
    <w:rsid w:val="00E77CC2"/>
    <w:rsid w:val="00E805D9"/>
    <w:rsid w:val="00E80727"/>
    <w:rsid w:val="00E84D49"/>
    <w:rsid w:val="00E85B4D"/>
    <w:rsid w:val="00E878B5"/>
    <w:rsid w:val="00E90C78"/>
    <w:rsid w:val="00E91ACA"/>
    <w:rsid w:val="00E921BF"/>
    <w:rsid w:val="00E9242D"/>
    <w:rsid w:val="00E92976"/>
    <w:rsid w:val="00E9314A"/>
    <w:rsid w:val="00E9381E"/>
    <w:rsid w:val="00E9404A"/>
    <w:rsid w:val="00E95C1F"/>
    <w:rsid w:val="00E97A0B"/>
    <w:rsid w:val="00E97B52"/>
    <w:rsid w:val="00EA0219"/>
    <w:rsid w:val="00EA0312"/>
    <w:rsid w:val="00EA106C"/>
    <w:rsid w:val="00EA1087"/>
    <w:rsid w:val="00EA110F"/>
    <w:rsid w:val="00EA11FC"/>
    <w:rsid w:val="00EA12E0"/>
    <w:rsid w:val="00EA4133"/>
    <w:rsid w:val="00EA49FB"/>
    <w:rsid w:val="00EA5533"/>
    <w:rsid w:val="00EA63D2"/>
    <w:rsid w:val="00EB0E14"/>
    <w:rsid w:val="00EB1AE5"/>
    <w:rsid w:val="00EB2E28"/>
    <w:rsid w:val="00EB46D8"/>
    <w:rsid w:val="00EB5255"/>
    <w:rsid w:val="00EB54E6"/>
    <w:rsid w:val="00EB5C47"/>
    <w:rsid w:val="00EB7E60"/>
    <w:rsid w:val="00EC0B55"/>
    <w:rsid w:val="00EC2B99"/>
    <w:rsid w:val="00EC3358"/>
    <w:rsid w:val="00EC403D"/>
    <w:rsid w:val="00EC4F26"/>
    <w:rsid w:val="00EC4F46"/>
    <w:rsid w:val="00EC7668"/>
    <w:rsid w:val="00EC7675"/>
    <w:rsid w:val="00ED0529"/>
    <w:rsid w:val="00ED0639"/>
    <w:rsid w:val="00ED1846"/>
    <w:rsid w:val="00ED2E77"/>
    <w:rsid w:val="00ED3BD8"/>
    <w:rsid w:val="00ED3F20"/>
    <w:rsid w:val="00ED4AD2"/>
    <w:rsid w:val="00ED5B33"/>
    <w:rsid w:val="00ED5C4F"/>
    <w:rsid w:val="00ED5E9D"/>
    <w:rsid w:val="00ED6DFA"/>
    <w:rsid w:val="00ED7987"/>
    <w:rsid w:val="00EE0191"/>
    <w:rsid w:val="00EE0C0F"/>
    <w:rsid w:val="00EE0EF0"/>
    <w:rsid w:val="00EE1684"/>
    <w:rsid w:val="00EE266C"/>
    <w:rsid w:val="00EE31EC"/>
    <w:rsid w:val="00EE336A"/>
    <w:rsid w:val="00EE41B5"/>
    <w:rsid w:val="00EE4487"/>
    <w:rsid w:val="00EE56A0"/>
    <w:rsid w:val="00EE5F50"/>
    <w:rsid w:val="00EF0709"/>
    <w:rsid w:val="00EF0C8C"/>
    <w:rsid w:val="00EF3B9D"/>
    <w:rsid w:val="00EF4118"/>
    <w:rsid w:val="00EF4418"/>
    <w:rsid w:val="00EF4755"/>
    <w:rsid w:val="00EF5853"/>
    <w:rsid w:val="00EF697E"/>
    <w:rsid w:val="00EF6E98"/>
    <w:rsid w:val="00EF7135"/>
    <w:rsid w:val="00EF742F"/>
    <w:rsid w:val="00F01828"/>
    <w:rsid w:val="00F01BE2"/>
    <w:rsid w:val="00F01C2C"/>
    <w:rsid w:val="00F027DB"/>
    <w:rsid w:val="00F03874"/>
    <w:rsid w:val="00F03B8B"/>
    <w:rsid w:val="00F0436E"/>
    <w:rsid w:val="00F070D8"/>
    <w:rsid w:val="00F101C2"/>
    <w:rsid w:val="00F10D14"/>
    <w:rsid w:val="00F10EB0"/>
    <w:rsid w:val="00F11105"/>
    <w:rsid w:val="00F115BF"/>
    <w:rsid w:val="00F12CF5"/>
    <w:rsid w:val="00F134D3"/>
    <w:rsid w:val="00F134E8"/>
    <w:rsid w:val="00F13760"/>
    <w:rsid w:val="00F139C4"/>
    <w:rsid w:val="00F13EA2"/>
    <w:rsid w:val="00F13EA8"/>
    <w:rsid w:val="00F14A7A"/>
    <w:rsid w:val="00F1611D"/>
    <w:rsid w:val="00F162A9"/>
    <w:rsid w:val="00F162F5"/>
    <w:rsid w:val="00F16FFA"/>
    <w:rsid w:val="00F17A59"/>
    <w:rsid w:val="00F21C49"/>
    <w:rsid w:val="00F22569"/>
    <w:rsid w:val="00F22985"/>
    <w:rsid w:val="00F229DB"/>
    <w:rsid w:val="00F2303E"/>
    <w:rsid w:val="00F23609"/>
    <w:rsid w:val="00F25A2B"/>
    <w:rsid w:val="00F265F7"/>
    <w:rsid w:val="00F2662E"/>
    <w:rsid w:val="00F277FC"/>
    <w:rsid w:val="00F30021"/>
    <w:rsid w:val="00F31DCB"/>
    <w:rsid w:val="00F321E9"/>
    <w:rsid w:val="00F3236D"/>
    <w:rsid w:val="00F33709"/>
    <w:rsid w:val="00F3383E"/>
    <w:rsid w:val="00F3415B"/>
    <w:rsid w:val="00F348A4"/>
    <w:rsid w:val="00F34B68"/>
    <w:rsid w:val="00F365C1"/>
    <w:rsid w:val="00F3685F"/>
    <w:rsid w:val="00F3722A"/>
    <w:rsid w:val="00F37F55"/>
    <w:rsid w:val="00F41D92"/>
    <w:rsid w:val="00F42F5D"/>
    <w:rsid w:val="00F43BAA"/>
    <w:rsid w:val="00F44F67"/>
    <w:rsid w:val="00F4588C"/>
    <w:rsid w:val="00F45ABA"/>
    <w:rsid w:val="00F465A7"/>
    <w:rsid w:val="00F47724"/>
    <w:rsid w:val="00F50659"/>
    <w:rsid w:val="00F50B7C"/>
    <w:rsid w:val="00F540D5"/>
    <w:rsid w:val="00F55020"/>
    <w:rsid w:val="00F550E6"/>
    <w:rsid w:val="00F55ED0"/>
    <w:rsid w:val="00F560F2"/>
    <w:rsid w:val="00F57FD4"/>
    <w:rsid w:val="00F616A3"/>
    <w:rsid w:val="00F61D46"/>
    <w:rsid w:val="00F61E2E"/>
    <w:rsid w:val="00F61FC1"/>
    <w:rsid w:val="00F6462B"/>
    <w:rsid w:val="00F660F0"/>
    <w:rsid w:val="00F669B3"/>
    <w:rsid w:val="00F6742D"/>
    <w:rsid w:val="00F70750"/>
    <w:rsid w:val="00F73147"/>
    <w:rsid w:val="00F73390"/>
    <w:rsid w:val="00F74345"/>
    <w:rsid w:val="00F75610"/>
    <w:rsid w:val="00F75E45"/>
    <w:rsid w:val="00F7648B"/>
    <w:rsid w:val="00F76578"/>
    <w:rsid w:val="00F767DB"/>
    <w:rsid w:val="00F774AE"/>
    <w:rsid w:val="00F80395"/>
    <w:rsid w:val="00F803FA"/>
    <w:rsid w:val="00F80A0A"/>
    <w:rsid w:val="00F80BA4"/>
    <w:rsid w:val="00F82953"/>
    <w:rsid w:val="00F82B19"/>
    <w:rsid w:val="00F83A3C"/>
    <w:rsid w:val="00F84DC3"/>
    <w:rsid w:val="00F84E20"/>
    <w:rsid w:val="00F855CC"/>
    <w:rsid w:val="00F85951"/>
    <w:rsid w:val="00F85E1B"/>
    <w:rsid w:val="00F9212D"/>
    <w:rsid w:val="00F922D9"/>
    <w:rsid w:val="00F9277B"/>
    <w:rsid w:val="00F937A6"/>
    <w:rsid w:val="00F93D7C"/>
    <w:rsid w:val="00F94261"/>
    <w:rsid w:val="00F952A7"/>
    <w:rsid w:val="00F95A1F"/>
    <w:rsid w:val="00F965DA"/>
    <w:rsid w:val="00F96AB0"/>
    <w:rsid w:val="00F97C23"/>
    <w:rsid w:val="00FA0B74"/>
    <w:rsid w:val="00FA20B9"/>
    <w:rsid w:val="00FA2103"/>
    <w:rsid w:val="00FA406A"/>
    <w:rsid w:val="00FA4161"/>
    <w:rsid w:val="00FA4E2C"/>
    <w:rsid w:val="00FA7657"/>
    <w:rsid w:val="00FB2E10"/>
    <w:rsid w:val="00FB33B5"/>
    <w:rsid w:val="00FB4306"/>
    <w:rsid w:val="00FB4DF5"/>
    <w:rsid w:val="00FB503A"/>
    <w:rsid w:val="00FB516C"/>
    <w:rsid w:val="00FB6294"/>
    <w:rsid w:val="00FB6988"/>
    <w:rsid w:val="00FB79DC"/>
    <w:rsid w:val="00FC231D"/>
    <w:rsid w:val="00FC522D"/>
    <w:rsid w:val="00FC67F2"/>
    <w:rsid w:val="00FC683B"/>
    <w:rsid w:val="00FC6BCA"/>
    <w:rsid w:val="00FC7DFB"/>
    <w:rsid w:val="00FD0236"/>
    <w:rsid w:val="00FD040A"/>
    <w:rsid w:val="00FD18F4"/>
    <w:rsid w:val="00FD43E4"/>
    <w:rsid w:val="00FD4DB4"/>
    <w:rsid w:val="00FD54DB"/>
    <w:rsid w:val="00FD619F"/>
    <w:rsid w:val="00FD64F6"/>
    <w:rsid w:val="00FD654E"/>
    <w:rsid w:val="00FD7098"/>
    <w:rsid w:val="00FD722A"/>
    <w:rsid w:val="00FD7C06"/>
    <w:rsid w:val="00FE0C49"/>
    <w:rsid w:val="00FE1D69"/>
    <w:rsid w:val="00FE2990"/>
    <w:rsid w:val="00FE4482"/>
    <w:rsid w:val="00FE62F2"/>
    <w:rsid w:val="00FE7428"/>
    <w:rsid w:val="00FE742F"/>
    <w:rsid w:val="00FE7B94"/>
    <w:rsid w:val="00FF0082"/>
    <w:rsid w:val="00FF1A7B"/>
    <w:rsid w:val="00FF282A"/>
    <w:rsid w:val="00FF2A71"/>
    <w:rsid w:val="00FF373E"/>
    <w:rsid w:val="00FF4240"/>
    <w:rsid w:val="00FF56BA"/>
    <w:rsid w:val="00FF5933"/>
    <w:rsid w:val="00FF5DB9"/>
    <w:rsid w:val="00FF5EE3"/>
    <w:rsid w:val="00FF70A4"/>
    <w:rsid w:val="01001B5E"/>
    <w:rsid w:val="0100390C"/>
    <w:rsid w:val="01005779"/>
    <w:rsid w:val="01011432"/>
    <w:rsid w:val="01032A2D"/>
    <w:rsid w:val="01085094"/>
    <w:rsid w:val="01097D2F"/>
    <w:rsid w:val="010A478A"/>
    <w:rsid w:val="010B22B0"/>
    <w:rsid w:val="010C0502"/>
    <w:rsid w:val="010D7DD7"/>
    <w:rsid w:val="010F3B4F"/>
    <w:rsid w:val="0116312F"/>
    <w:rsid w:val="011D4062"/>
    <w:rsid w:val="01213882"/>
    <w:rsid w:val="01260E98"/>
    <w:rsid w:val="01290F7E"/>
    <w:rsid w:val="012A0989"/>
    <w:rsid w:val="013730A5"/>
    <w:rsid w:val="015123B9"/>
    <w:rsid w:val="0156352C"/>
    <w:rsid w:val="015974C0"/>
    <w:rsid w:val="015D1E09"/>
    <w:rsid w:val="016151E2"/>
    <w:rsid w:val="01633E9B"/>
    <w:rsid w:val="01687703"/>
    <w:rsid w:val="017D31AE"/>
    <w:rsid w:val="017E682C"/>
    <w:rsid w:val="018054F1"/>
    <w:rsid w:val="01883901"/>
    <w:rsid w:val="018A2791"/>
    <w:rsid w:val="018C33F1"/>
    <w:rsid w:val="018E7169"/>
    <w:rsid w:val="01993D60"/>
    <w:rsid w:val="019C3329"/>
    <w:rsid w:val="01A00C4B"/>
    <w:rsid w:val="01A71FD9"/>
    <w:rsid w:val="01A73D87"/>
    <w:rsid w:val="01A7647D"/>
    <w:rsid w:val="01AD08E0"/>
    <w:rsid w:val="01AF6A99"/>
    <w:rsid w:val="01AF70E0"/>
    <w:rsid w:val="01B841E6"/>
    <w:rsid w:val="01BF37C7"/>
    <w:rsid w:val="01C77DCE"/>
    <w:rsid w:val="01CF32DE"/>
    <w:rsid w:val="01D54D98"/>
    <w:rsid w:val="01DB1C83"/>
    <w:rsid w:val="01E7687A"/>
    <w:rsid w:val="01EC3E90"/>
    <w:rsid w:val="01EF572E"/>
    <w:rsid w:val="01F62F61"/>
    <w:rsid w:val="01FF1E15"/>
    <w:rsid w:val="02021905"/>
    <w:rsid w:val="0204567E"/>
    <w:rsid w:val="020D5A12"/>
    <w:rsid w:val="020F7B7E"/>
    <w:rsid w:val="02105DD0"/>
    <w:rsid w:val="0213141D"/>
    <w:rsid w:val="021358C1"/>
    <w:rsid w:val="021754E5"/>
    <w:rsid w:val="02224692"/>
    <w:rsid w:val="022A6766"/>
    <w:rsid w:val="023575E5"/>
    <w:rsid w:val="0236335D"/>
    <w:rsid w:val="023A4BFB"/>
    <w:rsid w:val="024E68F9"/>
    <w:rsid w:val="02557C87"/>
    <w:rsid w:val="025F388A"/>
    <w:rsid w:val="026223A4"/>
    <w:rsid w:val="02661E94"/>
    <w:rsid w:val="02697903"/>
    <w:rsid w:val="026E2AF7"/>
    <w:rsid w:val="029F0F02"/>
    <w:rsid w:val="02A46519"/>
    <w:rsid w:val="02B20C36"/>
    <w:rsid w:val="02B50726"/>
    <w:rsid w:val="02B726F0"/>
    <w:rsid w:val="02B73399"/>
    <w:rsid w:val="02BA21E0"/>
    <w:rsid w:val="02BC5324"/>
    <w:rsid w:val="02C10E79"/>
    <w:rsid w:val="02C848FD"/>
    <w:rsid w:val="02CD1F13"/>
    <w:rsid w:val="02CD3A5F"/>
    <w:rsid w:val="02CD5A6F"/>
    <w:rsid w:val="02D36DFE"/>
    <w:rsid w:val="02DA1F3A"/>
    <w:rsid w:val="02E4100B"/>
    <w:rsid w:val="02E66B31"/>
    <w:rsid w:val="02E828A9"/>
    <w:rsid w:val="02EA1AAE"/>
    <w:rsid w:val="02EB05EB"/>
    <w:rsid w:val="02F72D3A"/>
    <w:rsid w:val="02F96569"/>
    <w:rsid w:val="030C73CC"/>
    <w:rsid w:val="030D1916"/>
    <w:rsid w:val="030E7E36"/>
    <w:rsid w:val="031418F0"/>
    <w:rsid w:val="031A67DB"/>
    <w:rsid w:val="031E276F"/>
    <w:rsid w:val="03232622"/>
    <w:rsid w:val="03247659"/>
    <w:rsid w:val="03302249"/>
    <w:rsid w:val="03310C5B"/>
    <w:rsid w:val="0337738D"/>
    <w:rsid w:val="03443858"/>
    <w:rsid w:val="03455F4E"/>
    <w:rsid w:val="034B2E38"/>
    <w:rsid w:val="034C1790"/>
    <w:rsid w:val="0350044F"/>
    <w:rsid w:val="035166A0"/>
    <w:rsid w:val="03522419"/>
    <w:rsid w:val="035D3297"/>
    <w:rsid w:val="035E2A3D"/>
    <w:rsid w:val="03681C3C"/>
    <w:rsid w:val="036F6B27"/>
    <w:rsid w:val="0374413D"/>
    <w:rsid w:val="03771E7F"/>
    <w:rsid w:val="037800D1"/>
    <w:rsid w:val="037C7496"/>
    <w:rsid w:val="038C76D9"/>
    <w:rsid w:val="038F71C9"/>
    <w:rsid w:val="03920A67"/>
    <w:rsid w:val="039368D6"/>
    <w:rsid w:val="039667A9"/>
    <w:rsid w:val="0397607D"/>
    <w:rsid w:val="039B791C"/>
    <w:rsid w:val="03A013D6"/>
    <w:rsid w:val="03AA7B5F"/>
    <w:rsid w:val="03AC1B29"/>
    <w:rsid w:val="03B86720"/>
    <w:rsid w:val="03C739A4"/>
    <w:rsid w:val="03D472D2"/>
    <w:rsid w:val="03D80B70"/>
    <w:rsid w:val="03DE5A5A"/>
    <w:rsid w:val="03E017D2"/>
    <w:rsid w:val="03E5328D"/>
    <w:rsid w:val="03E94B2B"/>
    <w:rsid w:val="03EA7B21"/>
    <w:rsid w:val="03ED2496"/>
    <w:rsid w:val="03F434D0"/>
    <w:rsid w:val="03F67248"/>
    <w:rsid w:val="03FB03BA"/>
    <w:rsid w:val="04001E75"/>
    <w:rsid w:val="04011D9C"/>
    <w:rsid w:val="04043713"/>
    <w:rsid w:val="04051239"/>
    <w:rsid w:val="040C0819"/>
    <w:rsid w:val="040E6340"/>
    <w:rsid w:val="041616A2"/>
    <w:rsid w:val="041D6583"/>
    <w:rsid w:val="042913CB"/>
    <w:rsid w:val="04293179"/>
    <w:rsid w:val="04367644"/>
    <w:rsid w:val="043833BC"/>
    <w:rsid w:val="04383E25"/>
    <w:rsid w:val="043A35D9"/>
    <w:rsid w:val="043A5387"/>
    <w:rsid w:val="04446205"/>
    <w:rsid w:val="044625E2"/>
    <w:rsid w:val="044C50BA"/>
    <w:rsid w:val="044C6E68"/>
    <w:rsid w:val="04581CB1"/>
    <w:rsid w:val="045D72C7"/>
    <w:rsid w:val="04657F2A"/>
    <w:rsid w:val="04722D72"/>
    <w:rsid w:val="04730898"/>
    <w:rsid w:val="047563BF"/>
    <w:rsid w:val="047C774D"/>
    <w:rsid w:val="047F0FEB"/>
    <w:rsid w:val="04820ADC"/>
    <w:rsid w:val="048900BC"/>
    <w:rsid w:val="048D3F78"/>
    <w:rsid w:val="048E56D2"/>
    <w:rsid w:val="0490144A"/>
    <w:rsid w:val="049115E6"/>
    <w:rsid w:val="04936845"/>
    <w:rsid w:val="049A7BD3"/>
    <w:rsid w:val="049D1976"/>
    <w:rsid w:val="049D3B67"/>
    <w:rsid w:val="04AD3559"/>
    <w:rsid w:val="04B073F7"/>
    <w:rsid w:val="04B74C29"/>
    <w:rsid w:val="04B769D7"/>
    <w:rsid w:val="04BA2023"/>
    <w:rsid w:val="04BC5D9C"/>
    <w:rsid w:val="04BD38C2"/>
    <w:rsid w:val="04BE5FB8"/>
    <w:rsid w:val="04C410F4"/>
    <w:rsid w:val="04D01847"/>
    <w:rsid w:val="04DC643E"/>
    <w:rsid w:val="04E6106A"/>
    <w:rsid w:val="04E92909"/>
    <w:rsid w:val="04ED064B"/>
    <w:rsid w:val="04F574FF"/>
    <w:rsid w:val="04FE4606"/>
    <w:rsid w:val="05191440"/>
    <w:rsid w:val="051A6F66"/>
    <w:rsid w:val="052102F4"/>
    <w:rsid w:val="052120A3"/>
    <w:rsid w:val="05213117"/>
    <w:rsid w:val="0523406D"/>
    <w:rsid w:val="052E47BF"/>
    <w:rsid w:val="05322502"/>
    <w:rsid w:val="0534627A"/>
    <w:rsid w:val="053C512E"/>
    <w:rsid w:val="05412745"/>
    <w:rsid w:val="055406CA"/>
    <w:rsid w:val="055A55B4"/>
    <w:rsid w:val="05690583"/>
    <w:rsid w:val="056A3A4A"/>
    <w:rsid w:val="05776166"/>
    <w:rsid w:val="05777F14"/>
    <w:rsid w:val="05791EDF"/>
    <w:rsid w:val="05812B41"/>
    <w:rsid w:val="05816FE5"/>
    <w:rsid w:val="05860158"/>
    <w:rsid w:val="058645FB"/>
    <w:rsid w:val="05883ED0"/>
    <w:rsid w:val="05900FD6"/>
    <w:rsid w:val="0591547A"/>
    <w:rsid w:val="05917228"/>
    <w:rsid w:val="05957D83"/>
    <w:rsid w:val="05976809"/>
    <w:rsid w:val="059960DD"/>
    <w:rsid w:val="059A3C03"/>
    <w:rsid w:val="059E36F3"/>
    <w:rsid w:val="05A0746B"/>
    <w:rsid w:val="05A21435"/>
    <w:rsid w:val="05A50F26"/>
    <w:rsid w:val="05AB1D09"/>
    <w:rsid w:val="05B13426"/>
    <w:rsid w:val="05B42F17"/>
    <w:rsid w:val="05BC001D"/>
    <w:rsid w:val="05BE5B43"/>
    <w:rsid w:val="05C55124"/>
    <w:rsid w:val="05CF7D50"/>
    <w:rsid w:val="05D67331"/>
    <w:rsid w:val="05DD06BF"/>
    <w:rsid w:val="05E355AA"/>
    <w:rsid w:val="05E82BC0"/>
    <w:rsid w:val="05EA2DDC"/>
    <w:rsid w:val="05EC445F"/>
    <w:rsid w:val="05F72E03"/>
    <w:rsid w:val="05F83EAE"/>
    <w:rsid w:val="0607234F"/>
    <w:rsid w:val="060E0879"/>
    <w:rsid w:val="060E3157"/>
    <w:rsid w:val="061439B5"/>
    <w:rsid w:val="06173B6C"/>
    <w:rsid w:val="061834A6"/>
    <w:rsid w:val="061D0ABC"/>
    <w:rsid w:val="062005AC"/>
    <w:rsid w:val="062956B3"/>
    <w:rsid w:val="062A6F0A"/>
    <w:rsid w:val="06304C93"/>
    <w:rsid w:val="06314567"/>
    <w:rsid w:val="063B53E6"/>
    <w:rsid w:val="063E7D85"/>
    <w:rsid w:val="06417DE6"/>
    <w:rsid w:val="06420522"/>
    <w:rsid w:val="0642564C"/>
    <w:rsid w:val="06456265"/>
    <w:rsid w:val="06471FDD"/>
    <w:rsid w:val="064C13A1"/>
    <w:rsid w:val="06562220"/>
    <w:rsid w:val="065B15E4"/>
    <w:rsid w:val="065D35AE"/>
    <w:rsid w:val="06620BC5"/>
    <w:rsid w:val="066A7A79"/>
    <w:rsid w:val="067A7CBC"/>
    <w:rsid w:val="067B3A34"/>
    <w:rsid w:val="067F3525"/>
    <w:rsid w:val="06807CDD"/>
    <w:rsid w:val="068B1EC9"/>
    <w:rsid w:val="069C40D7"/>
    <w:rsid w:val="069D1BFD"/>
    <w:rsid w:val="06AC1E40"/>
    <w:rsid w:val="06B238FA"/>
    <w:rsid w:val="06B70F10"/>
    <w:rsid w:val="06BD404D"/>
    <w:rsid w:val="06C158EB"/>
    <w:rsid w:val="06C501D3"/>
    <w:rsid w:val="06C62F02"/>
    <w:rsid w:val="06C947A0"/>
    <w:rsid w:val="06D27AF8"/>
    <w:rsid w:val="06D33870"/>
    <w:rsid w:val="06D373CC"/>
    <w:rsid w:val="06D5093D"/>
    <w:rsid w:val="06D7510F"/>
    <w:rsid w:val="06E76764"/>
    <w:rsid w:val="06E93094"/>
    <w:rsid w:val="06F85085"/>
    <w:rsid w:val="06FC6923"/>
    <w:rsid w:val="06FF01C2"/>
    <w:rsid w:val="0708351A"/>
    <w:rsid w:val="07091040"/>
    <w:rsid w:val="070A631C"/>
    <w:rsid w:val="070D0B30"/>
    <w:rsid w:val="071023CF"/>
    <w:rsid w:val="07124399"/>
    <w:rsid w:val="072365A6"/>
    <w:rsid w:val="07267E44"/>
    <w:rsid w:val="07293586"/>
    <w:rsid w:val="07295285"/>
    <w:rsid w:val="072A2F74"/>
    <w:rsid w:val="072F4F4B"/>
    <w:rsid w:val="07302A71"/>
    <w:rsid w:val="07342561"/>
    <w:rsid w:val="07373DFF"/>
    <w:rsid w:val="073A38EF"/>
    <w:rsid w:val="073C31C4"/>
    <w:rsid w:val="07416A2C"/>
    <w:rsid w:val="0744651C"/>
    <w:rsid w:val="07481B68"/>
    <w:rsid w:val="074D717F"/>
    <w:rsid w:val="0757624F"/>
    <w:rsid w:val="075A7AEE"/>
    <w:rsid w:val="07636392"/>
    <w:rsid w:val="07697D31"/>
    <w:rsid w:val="076D6CFC"/>
    <w:rsid w:val="076F17EB"/>
    <w:rsid w:val="07740BAF"/>
    <w:rsid w:val="07770C56"/>
    <w:rsid w:val="07794418"/>
    <w:rsid w:val="077E37DC"/>
    <w:rsid w:val="0781207B"/>
    <w:rsid w:val="07832BA1"/>
    <w:rsid w:val="07893F2F"/>
    <w:rsid w:val="078B7CA7"/>
    <w:rsid w:val="079106EB"/>
    <w:rsid w:val="079C1EB4"/>
    <w:rsid w:val="079E3E7E"/>
    <w:rsid w:val="07A31495"/>
    <w:rsid w:val="07B146A4"/>
    <w:rsid w:val="07C1191B"/>
    <w:rsid w:val="07C531B9"/>
    <w:rsid w:val="07CE6099"/>
    <w:rsid w:val="07D21D7A"/>
    <w:rsid w:val="07E8334B"/>
    <w:rsid w:val="07E9545C"/>
    <w:rsid w:val="07EC6998"/>
    <w:rsid w:val="07ED0962"/>
    <w:rsid w:val="07F12200"/>
    <w:rsid w:val="07F41CF0"/>
    <w:rsid w:val="07F52B97"/>
    <w:rsid w:val="07FD6BA9"/>
    <w:rsid w:val="080261BB"/>
    <w:rsid w:val="08032104"/>
    <w:rsid w:val="080715F7"/>
    <w:rsid w:val="08122176"/>
    <w:rsid w:val="08161C67"/>
    <w:rsid w:val="081952B3"/>
    <w:rsid w:val="081E4FBF"/>
    <w:rsid w:val="082500FC"/>
    <w:rsid w:val="08283748"/>
    <w:rsid w:val="082E5202"/>
    <w:rsid w:val="08393BA7"/>
    <w:rsid w:val="0849203C"/>
    <w:rsid w:val="08511C41"/>
    <w:rsid w:val="08585DDB"/>
    <w:rsid w:val="086230FE"/>
    <w:rsid w:val="08624EAC"/>
    <w:rsid w:val="08646E76"/>
    <w:rsid w:val="0865499C"/>
    <w:rsid w:val="08674270"/>
    <w:rsid w:val="086A29F2"/>
    <w:rsid w:val="086A3D60"/>
    <w:rsid w:val="08730E67"/>
    <w:rsid w:val="087B5F6E"/>
    <w:rsid w:val="08852948"/>
    <w:rsid w:val="088E5CA1"/>
    <w:rsid w:val="08915791"/>
    <w:rsid w:val="08942484"/>
    <w:rsid w:val="08955281"/>
    <w:rsid w:val="08A059D4"/>
    <w:rsid w:val="08A116F6"/>
    <w:rsid w:val="08AB6853"/>
    <w:rsid w:val="08AE1E9F"/>
    <w:rsid w:val="08B33959"/>
    <w:rsid w:val="08B35707"/>
    <w:rsid w:val="08BA0844"/>
    <w:rsid w:val="08BA4CE8"/>
    <w:rsid w:val="08C23B9D"/>
    <w:rsid w:val="08D35DAA"/>
    <w:rsid w:val="08D538D0"/>
    <w:rsid w:val="08D5567E"/>
    <w:rsid w:val="08EC53DD"/>
    <w:rsid w:val="08F17FDE"/>
    <w:rsid w:val="08FC0E5C"/>
    <w:rsid w:val="08FF26FB"/>
    <w:rsid w:val="09016473"/>
    <w:rsid w:val="09150170"/>
    <w:rsid w:val="091E5277"/>
    <w:rsid w:val="092217DD"/>
    <w:rsid w:val="09246605"/>
    <w:rsid w:val="092B50CE"/>
    <w:rsid w:val="092C1344"/>
    <w:rsid w:val="092D606A"/>
    <w:rsid w:val="093A7294"/>
    <w:rsid w:val="093D1475"/>
    <w:rsid w:val="093F0D49"/>
    <w:rsid w:val="09440A55"/>
    <w:rsid w:val="09510A7C"/>
    <w:rsid w:val="0958005D"/>
    <w:rsid w:val="09694018"/>
    <w:rsid w:val="0972111F"/>
    <w:rsid w:val="098A4CBC"/>
    <w:rsid w:val="098B0432"/>
    <w:rsid w:val="09931095"/>
    <w:rsid w:val="09A11A04"/>
    <w:rsid w:val="09A3577C"/>
    <w:rsid w:val="09A60DC8"/>
    <w:rsid w:val="09A84B40"/>
    <w:rsid w:val="09B039F5"/>
    <w:rsid w:val="09B07E99"/>
    <w:rsid w:val="09BB0D18"/>
    <w:rsid w:val="09C35E1E"/>
    <w:rsid w:val="09C37BCC"/>
    <w:rsid w:val="09CD0A4B"/>
    <w:rsid w:val="09D9119E"/>
    <w:rsid w:val="09E43C48"/>
    <w:rsid w:val="09E518F1"/>
    <w:rsid w:val="09E813E1"/>
    <w:rsid w:val="09EA5159"/>
    <w:rsid w:val="09EB2C7F"/>
    <w:rsid w:val="09EC7123"/>
    <w:rsid w:val="09EF1C76"/>
    <w:rsid w:val="09F71624"/>
    <w:rsid w:val="09FA34EB"/>
    <w:rsid w:val="09FC30DE"/>
    <w:rsid w:val="0A0855DF"/>
    <w:rsid w:val="0A12645E"/>
    <w:rsid w:val="0A187F18"/>
    <w:rsid w:val="0A245017"/>
    <w:rsid w:val="0A263993"/>
    <w:rsid w:val="0A27015B"/>
    <w:rsid w:val="0A2763AD"/>
    <w:rsid w:val="0A2D3AC2"/>
    <w:rsid w:val="0A3208AE"/>
    <w:rsid w:val="0A374116"/>
    <w:rsid w:val="0A3C34DB"/>
    <w:rsid w:val="0A4725AB"/>
    <w:rsid w:val="0A4A209B"/>
    <w:rsid w:val="0A4C1970"/>
    <w:rsid w:val="0A544CC8"/>
    <w:rsid w:val="0A5847B8"/>
    <w:rsid w:val="0A5C592B"/>
    <w:rsid w:val="0A6208DC"/>
    <w:rsid w:val="0A652A31"/>
    <w:rsid w:val="0A6A44EC"/>
    <w:rsid w:val="0A73514E"/>
    <w:rsid w:val="0A7B04A7"/>
    <w:rsid w:val="0A7E1D45"/>
    <w:rsid w:val="0A84735B"/>
    <w:rsid w:val="0A914E80"/>
    <w:rsid w:val="0A943317"/>
    <w:rsid w:val="0A9450C5"/>
    <w:rsid w:val="0A960E3D"/>
    <w:rsid w:val="0A96708F"/>
    <w:rsid w:val="0A9B46A5"/>
    <w:rsid w:val="0A9D041D"/>
    <w:rsid w:val="0AA02FBA"/>
    <w:rsid w:val="0AA755DF"/>
    <w:rsid w:val="0AAA2B3A"/>
    <w:rsid w:val="0AAE262A"/>
    <w:rsid w:val="0AB13EC9"/>
    <w:rsid w:val="0AB37C41"/>
    <w:rsid w:val="0AB85257"/>
    <w:rsid w:val="0ABC5BC4"/>
    <w:rsid w:val="0ABF65E6"/>
    <w:rsid w:val="0AC41B44"/>
    <w:rsid w:val="0AC736EC"/>
    <w:rsid w:val="0AC77248"/>
    <w:rsid w:val="0AC91212"/>
    <w:rsid w:val="0ACA6D38"/>
    <w:rsid w:val="0AD33E3F"/>
    <w:rsid w:val="0AD57BB7"/>
    <w:rsid w:val="0AD61B81"/>
    <w:rsid w:val="0AD876A7"/>
    <w:rsid w:val="0ADB2CF4"/>
    <w:rsid w:val="0ADF4592"/>
    <w:rsid w:val="0AE20526"/>
    <w:rsid w:val="0AE47DFA"/>
    <w:rsid w:val="0AF3628F"/>
    <w:rsid w:val="0B0009AC"/>
    <w:rsid w:val="0B065FC2"/>
    <w:rsid w:val="0B120D44"/>
    <w:rsid w:val="0B1F7084"/>
    <w:rsid w:val="0B27418B"/>
    <w:rsid w:val="0B30303F"/>
    <w:rsid w:val="0B3874C5"/>
    <w:rsid w:val="0B4C599F"/>
    <w:rsid w:val="0B4F695F"/>
    <w:rsid w:val="0B521208"/>
    <w:rsid w:val="0B5605CC"/>
    <w:rsid w:val="0B5A00BC"/>
    <w:rsid w:val="0B5A630E"/>
    <w:rsid w:val="0B5C2086"/>
    <w:rsid w:val="0B5C5BE2"/>
    <w:rsid w:val="0B666A61"/>
    <w:rsid w:val="0B772F9A"/>
    <w:rsid w:val="0B8765F0"/>
    <w:rsid w:val="0B932773"/>
    <w:rsid w:val="0B941820"/>
    <w:rsid w:val="0B955598"/>
    <w:rsid w:val="0B9C2B0E"/>
    <w:rsid w:val="0BA675DA"/>
    <w:rsid w:val="0BA92DF2"/>
    <w:rsid w:val="0BB35A1E"/>
    <w:rsid w:val="0BB73761"/>
    <w:rsid w:val="0BB93035"/>
    <w:rsid w:val="0BBA6DAD"/>
    <w:rsid w:val="0BC639A4"/>
    <w:rsid w:val="0BCE4606"/>
    <w:rsid w:val="0BD065D0"/>
    <w:rsid w:val="0BD240F7"/>
    <w:rsid w:val="0BD27BF6"/>
    <w:rsid w:val="0BD410AF"/>
    <w:rsid w:val="0BE634AB"/>
    <w:rsid w:val="0BE67BA2"/>
    <w:rsid w:val="0BE856C8"/>
    <w:rsid w:val="0BF64289"/>
    <w:rsid w:val="0C006EB6"/>
    <w:rsid w:val="0C030754"/>
    <w:rsid w:val="0C0A1AE2"/>
    <w:rsid w:val="0C0A7D34"/>
    <w:rsid w:val="0C104C1F"/>
    <w:rsid w:val="0C14470F"/>
    <w:rsid w:val="0C1464BD"/>
    <w:rsid w:val="0C201306"/>
    <w:rsid w:val="0C2030B4"/>
    <w:rsid w:val="0C216E2C"/>
    <w:rsid w:val="0C234952"/>
    <w:rsid w:val="0C235CDA"/>
    <w:rsid w:val="0C26093E"/>
    <w:rsid w:val="0C2E3368"/>
    <w:rsid w:val="0C396BCF"/>
    <w:rsid w:val="0C3B3C7D"/>
    <w:rsid w:val="0C3F14E5"/>
    <w:rsid w:val="0C4548C9"/>
    <w:rsid w:val="0C4B5C57"/>
    <w:rsid w:val="0C540FAF"/>
    <w:rsid w:val="0C542D5E"/>
    <w:rsid w:val="0C601702"/>
    <w:rsid w:val="0C61547A"/>
    <w:rsid w:val="0C6311F3"/>
    <w:rsid w:val="0C6754D4"/>
    <w:rsid w:val="0C6A2581"/>
    <w:rsid w:val="0C6A432F"/>
    <w:rsid w:val="0C6D2071"/>
    <w:rsid w:val="0C6F1945"/>
    <w:rsid w:val="0C6F5DE9"/>
    <w:rsid w:val="0C7358DA"/>
    <w:rsid w:val="0C7451AE"/>
    <w:rsid w:val="0C7927C4"/>
    <w:rsid w:val="0C8573BB"/>
    <w:rsid w:val="0C8A677F"/>
    <w:rsid w:val="0C8C24F7"/>
    <w:rsid w:val="0C943AA2"/>
    <w:rsid w:val="0C9E047D"/>
    <w:rsid w:val="0CA84E57"/>
    <w:rsid w:val="0CAB2EAE"/>
    <w:rsid w:val="0CBA3508"/>
    <w:rsid w:val="0CBD0903"/>
    <w:rsid w:val="0CC872A8"/>
    <w:rsid w:val="0CCA74C4"/>
    <w:rsid w:val="0CCC48E0"/>
    <w:rsid w:val="0CCD3CE8"/>
    <w:rsid w:val="0CCD3E11"/>
    <w:rsid w:val="0CCF3E59"/>
    <w:rsid w:val="0CD10852"/>
    <w:rsid w:val="0CD81BE1"/>
    <w:rsid w:val="0CDB522D"/>
    <w:rsid w:val="0CDB6FDB"/>
    <w:rsid w:val="0CDF2F6F"/>
    <w:rsid w:val="0CE94E7E"/>
    <w:rsid w:val="0CF06F2A"/>
    <w:rsid w:val="0CF7491A"/>
    <w:rsid w:val="0CF9542B"/>
    <w:rsid w:val="0CFE36D8"/>
    <w:rsid w:val="0D002EE5"/>
    <w:rsid w:val="0D091D9A"/>
    <w:rsid w:val="0D0C188A"/>
    <w:rsid w:val="0D10137A"/>
    <w:rsid w:val="0D352AAD"/>
    <w:rsid w:val="0D415BDD"/>
    <w:rsid w:val="0D466B4A"/>
    <w:rsid w:val="0D4B23B2"/>
    <w:rsid w:val="0D4B4161"/>
    <w:rsid w:val="0D4E3C51"/>
    <w:rsid w:val="0D533015"/>
    <w:rsid w:val="0D54772E"/>
    <w:rsid w:val="0D573276"/>
    <w:rsid w:val="0D621C7D"/>
    <w:rsid w:val="0D673AAC"/>
    <w:rsid w:val="0D705975"/>
    <w:rsid w:val="0D7611AE"/>
    <w:rsid w:val="0D780205"/>
    <w:rsid w:val="0D7C6A10"/>
    <w:rsid w:val="0D8458C4"/>
    <w:rsid w:val="0D894C75"/>
    <w:rsid w:val="0D8B6C53"/>
    <w:rsid w:val="0D8E7FEE"/>
    <w:rsid w:val="0D9C2C0E"/>
    <w:rsid w:val="0DA25D4B"/>
    <w:rsid w:val="0DA9532B"/>
    <w:rsid w:val="0DAB2E51"/>
    <w:rsid w:val="0DAD0977"/>
    <w:rsid w:val="0DAE649D"/>
    <w:rsid w:val="0DBA3AA3"/>
    <w:rsid w:val="0DBF4B4E"/>
    <w:rsid w:val="0DBF68FD"/>
    <w:rsid w:val="0DC857B1"/>
    <w:rsid w:val="0DC91529"/>
    <w:rsid w:val="0DCE6B40"/>
    <w:rsid w:val="0DD979BE"/>
    <w:rsid w:val="0DE30130"/>
    <w:rsid w:val="0DE36BD4"/>
    <w:rsid w:val="0DEB5944"/>
    <w:rsid w:val="0DED16BC"/>
    <w:rsid w:val="0DED346A"/>
    <w:rsid w:val="0DFF6240"/>
    <w:rsid w:val="0E0013EF"/>
    <w:rsid w:val="0E012A71"/>
    <w:rsid w:val="0E056A05"/>
    <w:rsid w:val="0E122ED0"/>
    <w:rsid w:val="0E1327A4"/>
    <w:rsid w:val="0E1409F6"/>
    <w:rsid w:val="0E19600D"/>
    <w:rsid w:val="0E1A1D85"/>
    <w:rsid w:val="0E1B138D"/>
    <w:rsid w:val="0E211365"/>
    <w:rsid w:val="0E213113"/>
    <w:rsid w:val="0E286250"/>
    <w:rsid w:val="0E3015A8"/>
    <w:rsid w:val="0E330B00"/>
    <w:rsid w:val="0E3C7F4D"/>
    <w:rsid w:val="0E3E1F17"/>
    <w:rsid w:val="0E3E7B9F"/>
    <w:rsid w:val="0E4C6DDF"/>
    <w:rsid w:val="0E4D215A"/>
    <w:rsid w:val="0E4F7C80"/>
    <w:rsid w:val="0E545297"/>
    <w:rsid w:val="0E5E4367"/>
    <w:rsid w:val="0E601E8E"/>
    <w:rsid w:val="0E6574A4"/>
    <w:rsid w:val="0E6A2D0C"/>
    <w:rsid w:val="0E72571D"/>
    <w:rsid w:val="0E73034D"/>
    <w:rsid w:val="0E7B29B7"/>
    <w:rsid w:val="0E7C47EE"/>
    <w:rsid w:val="0E807E3A"/>
    <w:rsid w:val="0E835B7C"/>
    <w:rsid w:val="0E896CE0"/>
    <w:rsid w:val="0E8D69FB"/>
    <w:rsid w:val="0E927B6D"/>
    <w:rsid w:val="0E9B1118"/>
    <w:rsid w:val="0EAA4EB7"/>
    <w:rsid w:val="0EB126E9"/>
    <w:rsid w:val="0EBD108E"/>
    <w:rsid w:val="0EC20452"/>
    <w:rsid w:val="0EC40BD4"/>
    <w:rsid w:val="0EC95C85"/>
    <w:rsid w:val="0ECC307F"/>
    <w:rsid w:val="0ECF2B6F"/>
    <w:rsid w:val="0ED308B1"/>
    <w:rsid w:val="0EE3661B"/>
    <w:rsid w:val="0EFA4090"/>
    <w:rsid w:val="0EFB5712"/>
    <w:rsid w:val="0F0E18EA"/>
    <w:rsid w:val="0F13775A"/>
    <w:rsid w:val="0F184516"/>
    <w:rsid w:val="0F1E7653"/>
    <w:rsid w:val="0F2773FD"/>
    <w:rsid w:val="0F331350"/>
    <w:rsid w:val="0F40581B"/>
    <w:rsid w:val="0F427144"/>
    <w:rsid w:val="0F4946D0"/>
    <w:rsid w:val="0F4D6EB9"/>
    <w:rsid w:val="0F4E7F38"/>
    <w:rsid w:val="0F56503F"/>
    <w:rsid w:val="0F5816C1"/>
    <w:rsid w:val="0F5D1AC6"/>
    <w:rsid w:val="0F5F45FE"/>
    <w:rsid w:val="0F64150A"/>
    <w:rsid w:val="0F655282"/>
    <w:rsid w:val="0F696B20"/>
    <w:rsid w:val="0F76123D"/>
    <w:rsid w:val="0F8120BC"/>
    <w:rsid w:val="0F847DFE"/>
    <w:rsid w:val="0F890F70"/>
    <w:rsid w:val="0F895414"/>
    <w:rsid w:val="0F8A6A96"/>
    <w:rsid w:val="0F9A112B"/>
    <w:rsid w:val="0FA1275E"/>
    <w:rsid w:val="0FA4224E"/>
    <w:rsid w:val="0FB51D65"/>
    <w:rsid w:val="0FB71F81"/>
    <w:rsid w:val="0FBD342A"/>
    <w:rsid w:val="0FC226D4"/>
    <w:rsid w:val="0FC65D20"/>
    <w:rsid w:val="0FDF3286"/>
    <w:rsid w:val="0FF26B15"/>
    <w:rsid w:val="0FFC1742"/>
    <w:rsid w:val="10035202"/>
    <w:rsid w:val="10046849"/>
    <w:rsid w:val="10060813"/>
    <w:rsid w:val="100625C1"/>
    <w:rsid w:val="100D20F3"/>
    <w:rsid w:val="100D394F"/>
    <w:rsid w:val="100D7DF3"/>
    <w:rsid w:val="101412D3"/>
    <w:rsid w:val="10150A56"/>
    <w:rsid w:val="10190546"/>
    <w:rsid w:val="101C0036"/>
    <w:rsid w:val="1021564D"/>
    <w:rsid w:val="102173FB"/>
    <w:rsid w:val="102749DF"/>
    <w:rsid w:val="10284C2D"/>
    <w:rsid w:val="102D5D9F"/>
    <w:rsid w:val="102E10F1"/>
    <w:rsid w:val="102E76EB"/>
    <w:rsid w:val="103510F8"/>
    <w:rsid w:val="103709CC"/>
    <w:rsid w:val="10376C1E"/>
    <w:rsid w:val="10412E95"/>
    <w:rsid w:val="10432474"/>
    <w:rsid w:val="10433815"/>
    <w:rsid w:val="104357A2"/>
    <w:rsid w:val="10521CAA"/>
    <w:rsid w:val="10606175"/>
    <w:rsid w:val="10667503"/>
    <w:rsid w:val="106D2F64"/>
    <w:rsid w:val="10741C20"/>
    <w:rsid w:val="10795489"/>
    <w:rsid w:val="107E65FB"/>
    <w:rsid w:val="108316DB"/>
    <w:rsid w:val="108654B0"/>
    <w:rsid w:val="108856CC"/>
    <w:rsid w:val="108A31F2"/>
    <w:rsid w:val="10A67900"/>
    <w:rsid w:val="10B63710"/>
    <w:rsid w:val="10B77D5F"/>
    <w:rsid w:val="10B85C94"/>
    <w:rsid w:val="10B85FB1"/>
    <w:rsid w:val="10BC5375"/>
    <w:rsid w:val="10C06C14"/>
    <w:rsid w:val="10C2298C"/>
    <w:rsid w:val="10C55FD8"/>
    <w:rsid w:val="10CC55B8"/>
    <w:rsid w:val="10D12BCF"/>
    <w:rsid w:val="10D73F5D"/>
    <w:rsid w:val="10D91A83"/>
    <w:rsid w:val="10F10820"/>
    <w:rsid w:val="10F15E25"/>
    <w:rsid w:val="11035C33"/>
    <w:rsid w:val="11052878"/>
    <w:rsid w:val="11063FEA"/>
    <w:rsid w:val="11072A94"/>
    <w:rsid w:val="1109680C"/>
    <w:rsid w:val="110A7E8F"/>
    <w:rsid w:val="11164A85"/>
    <w:rsid w:val="111C2F7A"/>
    <w:rsid w:val="111D4066"/>
    <w:rsid w:val="112076B2"/>
    <w:rsid w:val="11252F1A"/>
    <w:rsid w:val="11276C93"/>
    <w:rsid w:val="1131366D"/>
    <w:rsid w:val="113413B0"/>
    <w:rsid w:val="11360C84"/>
    <w:rsid w:val="113D0264"/>
    <w:rsid w:val="113F222E"/>
    <w:rsid w:val="11407D54"/>
    <w:rsid w:val="11421D1E"/>
    <w:rsid w:val="114415F3"/>
    <w:rsid w:val="114A128D"/>
    <w:rsid w:val="11561326"/>
    <w:rsid w:val="11586E4C"/>
    <w:rsid w:val="11665CA1"/>
    <w:rsid w:val="11731ED8"/>
    <w:rsid w:val="118045F5"/>
    <w:rsid w:val="11847C41"/>
    <w:rsid w:val="118B7221"/>
    <w:rsid w:val="11936FD1"/>
    <w:rsid w:val="11967974"/>
    <w:rsid w:val="11AC7198"/>
    <w:rsid w:val="11B76268"/>
    <w:rsid w:val="11BB73DB"/>
    <w:rsid w:val="11DB182B"/>
    <w:rsid w:val="11DF30C9"/>
    <w:rsid w:val="11F8418B"/>
    <w:rsid w:val="11FD5C45"/>
    <w:rsid w:val="1202500A"/>
    <w:rsid w:val="120668A8"/>
    <w:rsid w:val="12072620"/>
    <w:rsid w:val="12080872"/>
    <w:rsid w:val="12103BCB"/>
    <w:rsid w:val="12135469"/>
    <w:rsid w:val="12137217"/>
    <w:rsid w:val="12152F8F"/>
    <w:rsid w:val="1230601B"/>
    <w:rsid w:val="12321983"/>
    <w:rsid w:val="12375BEF"/>
    <w:rsid w:val="123B40FD"/>
    <w:rsid w:val="12443874"/>
    <w:rsid w:val="12445622"/>
    <w:rsid w:val="124675EC"/>
    <w:rsid w:val="12492C39"/>
    <w:rsid w:val="124B4C03"/>
    <w:rsid w:val="124E024F"/>
    <w:rsid w:val="12502219"/>
    <w:rsid w:val="12527D3F"/>
    <w:rsid w:val="12541D09"/>
    <w:rsid w:val="12555A81"/>
    <w:rsid w:val="12635AA8"/>
    <w:rsid w:val="12687563"/>
    <w:rsid w:val="126A32DB"/>
    <w:rsid w:val="126F13A8"/>
    <w:rsid w:val="127001C5"/>
    <w:rsid w:val="12723F3D"/>
    <w:rsid w:val="12747CB6"/>
    <w:rsid w:val="1279351E"/>
    <w:rsid w:val="127952CC"/>
    <w:rsid w:val="127F48AC"/>
    <w:rsid w:val="128123D2"/>
    <w:rsid w:val="128F2D41"/>
    <w:rsid w:val="12977E48"/>
    <w:rsid w:val="12993BC0"/>
    <w:rsid w:val="1299596E"/>
    <w:rsid w:val="129F0AAB"/>
    <w:rsid w:val="12AA7B7B"/>
    <w:rsid w:val="12B46304"/>
    <w:rsid w:val="12B97DBE"/>
    <w:rsid w:val="12BA1E53"/>
    <w:rsid w:val="12BD67FA"/>
    <w:rsid w:val="12BE3627"/>
    <w:rsid w:val="12C02EFB"/>
    <w:rsid w:val="12C855FD"/>
    <w:rsid w:val="12CA5B28"/>
    <w:rsid w:val="12CD386A"/>
    <w:rsid w:val="12D06EB6"/>
    <w:rsid w:val="12D27590"/>
    <w:rsid w:val="12D40754"/>
    <w:rsid w:val="12E05BA7"/>
    <w:rsid w:val="12E27315"/>
    <w:rsid w:val="12E56E05"/>
    <w:rsid w:val="13082AF4"/>
    <w:rsid w:val="13103E92"/>
    <w:rsid w:val="131C20FB"/>
    <w:rsid w:val="131D659F"/>
    <w:rsid w:val="13201BEB"/>
    <w:rsid w:val="13250FB0"/>
    <w:rsid w:val="132D4308"/>
    <w:rsid w:val="13347445"/>
    <w:rsid w:val="133E157B"/>
    <w:rsid w:val="1347361C"/>
    <w:rsid w:val="13482EF0"/>
    <w:rsid w:val="13491142"/>
    <w:rsid w:val="134E6759"/>
    <w:rsid w:val="13517FF7"/>
    <w:rsid w:val="13533D6F"/>
    <w:rsid w:val="135875D7"/>
    <w:rsid w:val="135A334F"/>
    <w:rsid w:val="135B70C7"/>
    <w:rsid w:val="135D4BEE"/>
    <w:rsid w:val="136C4E31"/>
    <w:rsid w:val="136F1E65"/>
    <w:rsid w:val="137361BF"/>
    <w:rsid w:val="13737F6D"/>
    <w:rsid w:val="13750189"/>
    <w:rsid w:val="1379754E"/>
    <w:rsid w:val="138A5BED"/>
    <w:rsid w:val="13951726"/>
    <w:rsid w:val="139525D9"/>
    <w:rsid w:val="13961EAE"/>
    <w:rsid w:val="13A24CF6"/>
    <w:rsid w:val="13A26AA4"/>
    <w:rsid w:val="13A445CA"/>
    <w:rsid w:val="13AA7707"/>
    <w:rsid w:val="13AE369B"/>
    <w:rsid w:val="13B05416"/>
    <w:rsid w:val="13B642FE"/>
    <w:rsid w:val="13B81E24"/>
    <w:rsid w:val="13BB1914"/>
    <w:rsid w:val="13BF1404"/>
    <w:rsid w:val="13C20EF5"/>
    <w:rsid w:val="13D03611"/>
    <w:rsid w:val="13D84274"/>
    <w:rsid w:val="13D85B51"/>
    <w:rsid w:val="13EE3A98"/>
    <w:rsid w:val="13FB7F63"/>
    <w:rsid w:val="13FD3CDB"/>
    <w:rsid w:val="13FF7A53"/>
    <w:rsid w:val="140137CB"/>
    <w:rsid w:val="14045069"/>
    <w:rsid w:val="14180B15"/>
    <w:rsid w:val="141D437D"/>
    <w:rsid w:val="142B0848"/>
    <w:rsid w:val="14327E28"/>
    <w:rsid w:val="14357918"/>
    <w:rsid w:val="14396509"/>
    <w:rsid w:val="143A4F2F"/>
    <w:rsid w:val="143E4A1F"/>
    <w:rsid w:val="14423DE3"/>
    <w:rsid w:val="14447B5C"/>
    <w:rsid w:val="144530FD"/>
    <w:rsid w:val="144B2C98"/>
    <w:rsid w:val="1450733C"/>
    <w:rsid w:val="14574AE4"/>
    <w:rsid w:val="145F04F1"/>
    <w:rsid w:val="14700951"/>
    <w:rsid w:val="147C72F5"/>
    <w:rsid w:val="148B7538"/>
    <w:rsid w:val="14900FF3"/>
    <w:rsid w:val="14926B19"/>
    <w:rsid w:val="14942891"/>
    <w:rsid w:val="14991C55"/>
    <w:rsid w:val="149A2D26"/>
    <w:rsid w:val="14A979BF"/>
    <w:rsid w:val="14AD74AF"/>
    <w:rsid w:val="14B52807"/>
    <w:rsid w:val="14B922F8"/>
    <w:rsid w:val="14B94A0A"/>
    <w:rsid w:val="14C33176"/>
    <w:rsid w:val="14C36CD2"/>
    <w:rsid w:val="14CB202B"/>
    <w:rsid w:val="14D013EF"/>
    <w:rsid w:val="14D26F15"/>
    <w:rsid w:val="14D83448"/>
    <w:rsid w:val="14DD2C3C"/>
    <w:rsid w:val="14F275B8"/>
    <w:rsid w:val="14FE5E73"/>
    <w:rsid w:val="150F2C47"/>
    <w:rsid w:val="15192D96"/>
    <w:rsid w:val="151A266A"/>
    <w:rsid w:val="151E215B"/>
    <w:rsid w:val="152359C3"/>
    <w:rsid w:val="152C0D1B"/>
    <w:rsid w:val="152F3AAF"/>
    <w:rsid w:val="153E0A4F"/>
    <w:rsid w:val="154962E9"/>
    <w:rsid w:val="154D2A40"/>
    <w:rsid w:val="15542020"/>
    <w:rsid w:val="1561297C"/>
    <w:rsid w:val="156F5B9B"/>
    <w:rsid w:val="1571672E"/>
    <w:rsid w:val="157F52EF"/>
    <w:rsid w:val="15807C55"/>
    <w:rsid w:val="158A3C94"/>
    <w:rsid w:val="158B3902"/>
    <w:rsid w:val="15962639"/>
    <w:rsid w:val="15973CBB"/>
    <w:rsid w:val="159E329B"/>
    <w:rsid w:val="159E5049"/>
    <w:rsid w:val="15A24B3A"/>
    <w:rsid w:val="15AC59B8"/>
    <w:rsid w:val="15AD3A57"/>
    <w:rsid w:val="15AE34DE"/>
    <w:rsid w:val="15AE7982"/>
    <w:rsid w:val="15B12FCF"/>
    <w:rsid w:val="15B30AF5"/>
    <w:rsid w:val="15B66808"/>
    <w:rsid w:val="15BA6327"/>
    <w:rsid w:val="15BD7BC5"/>
    <w:rsid w:val="15C10475"/>
    <w:rsid w:val="15C947BC"/>
    <w:rsid w:val="15CE1DD3"/>
    <w:rsid w:val="15CF16A7"/>
    <w:rsid w:val="15D05B4B"/>
    <w:rsid w:val="15D60C87"/>
    <w:rsid w:val="15D62A35"/>
    <w:rsid w:val="15D64EC1"/>
    <w:rsid w:val="15F35395"/>
    <w:rsid w:val="15FB06EE"/>
    <w:rsid w:val="15FB473D"/>
    <w:rsid w:val="16037686"/>
    <w:rsid w:val="16087E1D"/>
    <w:rsid w:val="16157A01"/>
    <w:rsid w:val="161A6DC6"/>
    <w:rsid w:val="1622427E"/>
    <w:rsid w:val="1626576B"/>
    <w:rsid w:val="162C099A"/>
    <w:rsid w:val="164D719B"/>
    <w:rsid w:val="164E081E"/>
    <w:rsid w:val="16524615"/>
    <w:rsid w:val="16526560"/>
    <w:rsid w:val="16556050"/>
    <w:rsid w:val="165F0C7D"/>
    <w:rsid w:val="165F6ECF"/>
    <w:rsid w:val="166938A9"/>
    <w:rsid w:val="166D339A"/>
    <w:rsid w:val="16702E8A"/>
    <w:rsid w:val="167955EC"/>
    <w:rsid w:val="16797F90"/>
    <w:rsid w:val="167A1613"/>
    <w:rsid w:val="16846935"/>
    <w:rsid w:val="16921052"/>
    <w:rsid w:val="16930926"/>
    <w:rsid w:val="169923E1"/>
    <w:rsid w:val="169E5127"/>
    <w:rsid w:val="16A448E1"/>
    <w:rsid w:val="16A73D98"/>
    <w:rsid w:val="16AA639C"/>
    <w:rsid w:val="16B94831"/>
    <w:rsid w:val="16B965DF"/>
    <w:rsid w:val="16C60CFC"/>
    <w:rsid w:val="16D50F3F"/>
    <w:rsid w:val="16DB47A7"/>
    <w:rsid w:val="16DC22CD"/>
    <w:rsid w:val="16DE4297"/>
    <w:rsid w:val="16F92E7F"/>
    <w:rsid w:val="16FD2FBF"/>
    <w:rsid w:val="16FE2244"/>
    <w:rsid w:val="1701702A"/>
    <w:rsid w:val="170450F8"/>
    <w:rsid w:val="171121A5"/>
    <w:rsid w:val="171C091C"/>
    <w:rsid w:val="17285513"/>
    <w:rsid w:val="172B4E75"/>
    <w:rsid w:val="17312619"/>
    <w:rsid w:val="173E100D"/>
    <w:rsid w:val="17400AAE"/>
    <w:rsid w:val="17435EA8"/>
    <w:rsid w:val="17457E73"/>
    <w:rsid w:val="17463BEB"/>
    <w:rsid w:val="17577BA6"/>
    <w:rsid w:val="17591B70"/>
    <w:rsid w:val="175B1444"/>
    <w:rsid w:val="175B58E8"/>
    <w:rsid w:val="175E2CE2"/>
    <w:rsid w:val="1767428D"/>
    <w:rsid w:val="17701D14"/>
    <w:rsid w:val="177249E0"/>
    <w:rsid w:val="17735226"/>
    <w:rsid w:val="17747262"/>
    <w:rsid w:val="177E15D6"/>
    <w:rsid w:val="17822E75"/>
    <w:rsid w:val="17872239"/>
    <w:rsid w:val="178766DD"/>
    <w:rsid w:val="178D18AD"/>
    <w:rsid w:val="178F7340"/>
    <w:rsid w:val="17991F6C"/>
    <w:rsid w:val="17996410"/>
    <w:rsid w:val="179E57D5"/>
    <w:rsid w:val="17AA6F37"/>
    <w:rsid w:val="17BB6387"/>
    <w:rsid w:val="17C27715"/>
    <w:rsid w:val="17D22226"/>
    <w:rsid w:val="17D25EBC"/>
    <w:rsid w:val="17D26E39"/>
    <w:rsid w:val="17DB1E48"/>
    <w:rsid w:val="17DB2585"/>
    <w:rsid w:val="17DB4333"/>
    <w:rsid w:val="17DE07C9"/>
    <w:rsid w:val="17E07B9B"/>
    <w:rsid w:val="17E458DD"/>
    <w:rsid w:val="17E92EF4"/>
    <w:rsid w:val="17EF6030"/>
    <w:rsid w:val="17F04282"/>
    <w:rsid w:val="17FA6EAF"/>
    <w:rsid w:val="17FB49D5"/>
    <w:rsid w:val="17FF2717"/>
    <w:rsid w:val="18057602"/>
    <w:rsid w:val="18095344"/>
    <w:rsid w:val="180A4C18"/>
    <w:rsid w:val="180F222F"/>
    <w:rsid w:val="18100480"/>
    <w:rsid w:val="181066D2"/>
    <w:rsid w:val="181B0BD3"/>
    <w:rsid w:val="18297794"/>
    <w:rsid w:val="182A7068"/>
    <w:rsid w:val="182C2DE0"/>
    <w:rsid w:val="18471012"/>
    <w:rsid w:val="184E2D57"/>
    <w:rsid w:val="18585984"/>
    <w:rsid w:val="185D11EC"/>
    <w:rsid w:val="18626802"/>
    <w:rsid w:val="18672D11"/>
    <w:rsid w:val="186B5861"/>
    <w:rsid w:val="187F5606"/>
    <w:rsid w:val="18910E95"/>
    <w:rsid w:val="189F624C"/>
    <w:rsid w:val="18A84B5D"/>
    <w:rsid w:val="18AE37F5"/>
    <w:rsid w:val="18B76B4E"/>
    <w:rsid w:val="18C94AD3"/>
    <w:rsid w:val="18CC0A2E"/>
    <w:rsid w:val="18D86AC4"/>
    <w:rsid w:val="18E65685"/>
    <w:rsid w:val="18E92A80"/>
    <w:rsid w:val="18F86F87"/>
    <w:rsid w:val="18FA2EDF"/>
    <w:rsid w:val="18FA4C8D"/>
    <w:rsid w:val="18FE29CF"/>
    <w:rsid w:val="190A6222"/>
    <w:rsid w:val="190D49C0"/>
    <w:rsid w:val="19185113"/>
    <w:rsid w:val="191C2E55"/>
    <w:rsid w:val="191E6BCD"/>
    <w:rsid w:val="192817FA"/>
    <w:rsid w:val="192B4E46"/>
    <w:rsid w:val="19322678"/>
    <w:rsid w:val="19371A3D"/>
    <w:rsid w:val="19377C8F"/>
    <w:rsid w:val="193B264E"/>
    <w:rsid w:val="193B777F"/>
    <w:rsid w:val="194276D1"/>
    <w:rsid w:val="194303E2"/>
    <w:rsid w:val="19510D51"/>
    <w:rsid w:val="195C14A3"/>
    <w:rsid w:val="195E16BF"/>
    <w:rsid w:val="19600F94"/>
    <w:rsid w:val="196A3BC0"/>
    <w:rsid w:val="19726F19"/>
    <w:rsid w:val="19762565"/>
    <w:rsid w:val="19864C92"/>
    <w:rsid w:val="1990114D"/>
    <w:rsid w:val="199155F1"/>
    <w:rsid w:val="19940409"/>
    <w:rsid w:val="1998697F"/>
    <w:rsid w:val="199B3677"/>
    <w:rsid w:val="19A03A86"/>
    <w:rsid w:val="19B66E06"/>
    <w:rsid w:val="19C534ED"/>
    <w:rsid w:val="19C77265"/>
    <w:rsid w:val="19CE05F3"/>
    <w:rsid w:val="19E641DE"/>
    <w:rsid w:val="19EC0A79"/>
    <w:rsid w:val="19EE47F1"/>
    <w:rsid w:val="19F16090"/>
    <w:rsid w:val="19F17E3E"/>
    <w:rsid w:val="19F8741E"/>
    <w:rsid w:val="1A02029D"/>
    <w:rsid w:val="1A037B71"/>
    <w:rsid w:val="1A0E09F0"/>
    <w:rsid w:val="1A1324AA"/>
    <w:rsid w:val="1A1C66C0"/>
    <w:rsid w:val="1A246465"/>
    <w:rsid w:val="1A263A3C"/>
    <w:rsid w:val="1A2E32BA"/>
    <w:rsid w:val="1A2F0966"/>
    <w:rsid w:val="1A304E0A"/>
    <w:rsid w:val="1A312930"/>
    <w:rsid w:val="1A42393B"/>
    <w:rsid w:val="1A424B3D"/>
    <w:rsid w:val="1A46472D"/>
    <w:rsid w:val="1A4E34E2"/>
    <w:rsid w:val="1A584361"/>
    <w:rsid w:val="1A5A3C35"/>
    <w:rsid w:val="1A5F56EF"/>
    <w:rsid w:val="1A604FC3"/>
    <w:rsid w:val="1A606D71"/>
    <w:rsid w:val="1A69031C"/>
    <w:rsid w:val="1A6F38CC"/>
    <w:rsid w:val="1A75606A"/>
    <w:rsid w:val="1A7840BB"/>
    <w:rsid w:val="1A7A7E33"/>
    <w:rsid w:val="1A8011C2"/>
    <w:rsid w:val="1A840CB2"/>
    <w:rsid w:val="1A8769F4"/>
    <w:rsid w:val="1AAB4490"/>
    <w:rsid w:val="1AAD45DE"/>
    <w:rsid w:val="1AAE5D2F"/>
    <w:rsid w:val="1AB05F4B"/>
    <w:rsid w:val="1AB23A71"/>
    <w:rsid w:val="1AB570BD"/>
    <w:rsid w:val="1ABC6CDD"/>
    <w:rsid w:val="1AC13CB4"/>
    <w:rsid w:val="1AC15A62"/>
    <w:rsid w:val="1AC612CA"/>
    <w:rsid w:val="1ACB68E1"/>
    <w:rsid w:val="1ACE4623"/>
    <w:rsid w:val="1AD11A1D"/>
    <w:rsid w:val="1AD559B1"/>
    <w:rsid w:val="1AD75285"/>
    <w:rsid w:val="1ADD2709"/>
    <w:rsid w:val="1AE856E5"/>
    <w:rsid w:val="1AEF625F"/>
    <w:rsid w:val="1AF8344E"/>
    <w:rsid w:val="1AFA0F74"/>
    <w:rsid w:val="1B012302"/>
    <w:rsid w:val="1B046F80"/>
    <w:rsid w:val="1B1069E9"/>
    <w:rsid w:val="1B155387"/>
    <w:rsid w:val="1B193AF0"/>
    <w:rsid w:val="1B1A1616"/>
    <w:rsid w:val="1B1F4E7E"/>
    <w:rsid w:val="1B222279"/>
    <w:rsid w:val="1B244243"/>
    <w:rsid w:val="1B283D33"/>
    <w:rsid w:val="1B28788F"/>
    <w:rsid w:val="1B3267B5"/>
    <w:rsid w:val="1B397CEE"/>
    <w:rsid w:val="1B3A5814"/>
    <w:rsid w:val="1B40161D"/>
    <w:rsid w:val="1B410951"/>
    <w:rsid w:val="1B417B88"/>
    <w:rsid w:val="1B421B68"/>
    <w:rsid w:val="1B441859"/>
    <w:rsid w:val="1B4B5C73"/>
    <w:rsid w:val="1B4E306E"/>
    <w:rsid w:val="1B520DB0"/>
    <w:rsid w:val="1B530684"/>
    <w:rsid w:val="1B59213E"/>
    <w:rsid w:val="1B5E1503"/>
    <w:rsid w:val="1B5F527B"/>
    <w:rsid w:val="1B632FBD"/>
    <w:rsid w:val="1B6606B1"/>
    <w:rsid w:val="1B716318"/>
    <w:rsid w:val="1B75684C"/>
    <w:rsid w:val="1B8371BB"/>
    <w:rsid w:val="1B866CAC"/>
    <w:rsid w:val="1B886580"/>
    <w:rsid w:val="1B8B6070"/>
    <w:rsid w:val="1B917B2A"/>
    <w:rsid w:val="1B9B4FD0"/>
    <w:rsid w:val="1BA07D6D"/>
    <w:rsid w:val="1BAA4748"/>
    <w:rsid w:val="1BAB226E"/>
    <w:rsid w:val="1BB6133F"/>
    <w:rsid w:val="1BB630ED"/>
    <w:rsid w:val="1BB67591"/>
    <w:rsid w:val="1BB83309"/>
    <w:rsid w:val="1BC11A92"/>
    <w:rsid w:val="1BD14334"/>
    <w:rsid w:val="1BD45C69"/>
    <w:rsid w:val="1BDE0896"/>
    <w:rsid w:val="1BE13EE2"/>
    <w:rsid w:val="1BE35EAC"/>
    <w:rsid w:val="1BED17B1"/>
    <w:rsid w:val="1BF006D9"/>
    <w:rsid w:val="1BF65BDF"/>
    <w:rsid w:val="1C112A19"/>
    <w:rsid w:val="1C2022D8"/>
    <w:rsid w:val="1C2564C4"/>
    <w:rsid w:val="1C27223D"/>
    <w:rsid w:val="1C393D1E"/>
    <w:rsid w:val="1C406E5A"/>
    <w:rsid w:val="1C444B9D"/>
    <w:rsid w:val="1C447F92"/>
    <w:rsid w:val="1C4701E9"/>
    <w:rsid w:val="1C4A7CD9"/>
    <w:rsid w:val="1C4F3541"/>
    <w:rsid w:val="1C5172BA"/>
    <w:rsid w:val="1C5446B4"/>
    <w:rsid w:val="1C5648D0"/>
    <w:rsid w:val="1C5A43C0"/>
    <w:rsid w:val="1C5D17BA"/>
    <w:rsid w:val="1C5E5533"/>
    <w:rsid w:val="1C5E7925"/>
    <w:rsid w:val="1C6810D8"/>
    <w:rsid w:val="1C71170A"/>
    <w:rsid w:val="1C7B60E4"/>
    <w:rsid w:val="1C7F3E27"/>
    <w:rsid w:val="1C7F7983"/>
    <w:rsid w:val="1C8C20A0"/>
    <w:rsid w:val="1C901B90"/>
    <w:rsid w:val="1C9571A6"/>
    <w:rsid w:val="1C967BEB"/>
    <w:rsid w:val="1C9B0535"/>
    <w:rsid w:val="1C9D42AD"/>
    <w:rsid w:val="1CA613B3"/>
    <w:rsid w:val="1CAD0994"/>
    <w:rsid w:val="1CB57848"/>
    <w:rsid w:val="1CB6536F"/>
    <w:rsid w:val="1CC17F9B"/>
    <w:rsid w:val="1CC45CDD"/>
    <w:rsid w:val="1CC47A8B"/>
    <w:rsid w:val="1CCC6940"/>
    <w:rsid w:val="1CD06430"/>
    <w:rsid w:val="1CD51C99"/>
    <w:rsid w:val="1CD53A47"/>
    <w:rsid w:val="1CE04199"/>
    <w:rsid w:val="1CE41EDC"/>
    <w:rsid w:val="1CE43C8A"/>
    <w:rsid w:val="1CEE4B08"/>
    <w:rsid w:val="1CFD070F"/>
    <w:rsid w:val="1D0205B4"/>
    <w:rsid w:val="1D0A0A05"/>
    <w:rsid w:val="1D0E0D07"/>
    <w:rsid w:val="1D167BBB"/>
    <w:rsid w:val="1D230C56"/>
    <w:rsid w:val="1D232A04"/>
    <w:rsid w:val="1D2642A2"/>
    <w:rsid w:val="1D28001A"/>
    <w:rsid w:val="1D295B40"/>
    <w:rsid w:val="1D2D3883"/>
    <w:rsid w:val="1D3F35B6"/>
    <w:rsid w:val="1D430810"/>
    <w:rsid w:val="1D440BCC"/>
    <w:rsid w:val="1D491D3F"/>
    <w:rsid w:val="1D4D761C"/>
    <w:rsid w:val="1D50131F"/>
    <w:rsid w:val="1D5232E9"/>
    <w:rsid w:val="1D532BBD"/>
    <w:rsid w:val="1D594678"/>
    <w:rsid w:val="1D5F6196"/>
    <w:rsid w:val="1D6132A5"/>
    <w:rsid w:val="1D632E00"/>
    <w:rsid w:val="1D6A0633"/>
    <w:rsid w:val="1D6E79F7"/>
    <w:rsid w:val="1D75035F"/>
    <w:rsid w:val="1D792624"/>
    <w:rsid w:val="1D7C2114"/>
    <w:rsid w:val="1D8063BC"/>
    <w:rsid w:val="1D807E56"/>
    <w:rsid w:val="1D8316F5"/>
    <w:rsid w:val="1D847A9F"/>
    <w:rsid w:val="1D8D4321"/>
    <w:rsid w:val="1D8D60CF"/>
    <w:rsid w:val="1D8E56D5"/>
    <w:rsid w:val="1D902354"/>
    <w:rsid w:val="1D915DB7"/>
    <w:rsid w:val="1D951428"/>
    <w:rsid w:val="1D970CFC"/>
    <w:rsid w:val="1DA11B7B"/>
    <w:rsid w:val="1DA578BD"/>
    <w:rsid w:val="1DA67191"/>
    <w:rsid w:val="1DA82F09"/>
    <w:rsid w:val="1DAD49C3"/>
    <w:rsid w:val="1DAD5595"/>
    <w:rsid w:val="1DB22B1D"/>
    <w:rsid w:val="1DB93368"/>
    <w:rsid w:val="1DDB1D29"/>
    <w:rsid w:val="1DE2466D"/>
    <w:rsid w:val="1DF24184"/>
    <w:rsid w:val="1DF443A0"/>
    <w:rsid w:val="1DFB74DD"/>
    <w:rsid w:val="1DFE6FCD"/>
    <w:rsid w:val="1E060597"/>
    <w:rsid w:val="1E0C6171"/>
    <w:rsid w:val="1E0C793C"/>
    <w:rsid w:val="1E12625F"/>
    <w:rsid w:val="1E1332F5"/>
    <w:rsid w:val="1E25455A"/>
    <w:rsid w:val="1E390005"/>
    <w:rsid w:val="1E396257"/>
    <w:rsid w:val="1E3B5B2B"/>
    <w:rsid w:val="1E3D5D47"/>
    <w:rsid w:val="1E480248"/>
    <w:rsid w:val="1E4C7D38"/>
    <w:rsid w:val="1E5F4D40"/>
    <w:rsid w:val="1E636E30"/>
    <w:rsid w:val="1E6A6411"/>
    <w:rsid w:val="1E786D7F"/>
    <w:rsid w:val="1E7A43DA"/>
    <w:rsid w:val="1E836AA4"/>
    <w:rsid w:val="1E8A6AB3"/>
    <w:rsid w:val="1E8E20FF"/>
    <w:rsid w:val="1E917E41"/>
    <w:rsid w:val="1EA77665"/>
    <w:rsid w:val="1EB06519"/>
    <w:rsid w:val="1EB458DE"/>
    <w:rsid w:val="1EB4768C"/>
    <w:rsid w:val="1EC024D4"/>
    <w:rsid w:val="1EC27FFB"/>
    <w:rsid w:val="1ECB5101"/>
    <w:rsid w:val="1ECD441B"/>
    <w:rsid w:val="1ECD4970"/>
    <w:rsid w:val="1ECE699F"/>
    <w:rsid w:val="1ED41ADC"/>
    <w:rsid w:val="1ED8781E"/>
    <w:rsid w:val="1EE021C5"/>
    <w:rsid w:val="1EE512C1"/>
    <w:rsid w:val="1EE53CE9"/>
    <w:rsid w:val="1EE61F3B"/>
    <w:rsid w:val="1EE75517"/>
    <w:rsid w:val="1EEC5078"/>
    <w:rsid w:val="1EEF00B6"/>
    <w:rsid w:val="1EFB33BF"/>
    <w:rsid w:val="1EFC27C7"/>
    <w:rsid w:val="1F026649"/>
    <w:rsid w:val="1F066139"/>
    <w:rsid w:val="1F095C2A"/>
    <w:rsid w:val="1F0C74C8"/>
    <w:rsid w:val="1F100D66"/>
    <w:rsid w:val="1F204627"/>
    <w:rsid w:val="1F212F73"/>
    <w:rsid w:val="1F240CB5"/>
    <w:rsid w:val="1F2E38E2"/>
    <w:rsid w:val="1F3210B4"/>
    <w:rsid w:val="1F330EF8"/>
    <w:rsid w:val="1F3D58D3"/>
    <w:rsid w:val="1F4629DA"/>
    <w:rsid w:val="1F464788"/>
    <w:rsid w:val="1F4D1FBA"/>
    <w:rsid w:val="1F572E39"/>
    <w:rsid w:val="1F5C21FD"/>
    <w:rsid w:val="1F5F1CED"/>
    <w:rsid w:val="1F5F3A9B"/>
    <w:rsid w:val="1F6410B2"/>
    <w:rsid w:val="1F645556"/>
    <w:rsid w:val="1F653DDC"/>
    <w:rsid w:val="1F6B68E4"/>
    <w:rsid w:val="1F6D7F66"/>
    <w:rsid w:val="1F745799"/>
    <w:rsid w:val="1F7532BF"/>
    <w:rsid w:val="1F7C289F"/>
    <w:rsid w:val="1F813A12"/>
    <w:rsid w:val="1F8352B0"/>
    <w:rsid w:val="1F8950E7"/>
    <w:rsid w:val="1F8C314A"/>
    <w:rsid w:val="1F9B509B"/>
    <w:rsid w:val="1F9F3F6D"/>
    <w:rsid w:val="1FA12306"/>
    <w:rsid w:val="1FA45952"/>
    <w:rsid w:val="1FA53BA4"/>
    <w:rsid w:val="1FA85442"/>
    <w:rsid w:val="1FAD3DC4"/>
    <w:rsid w:val="1FB65DB1"/>
    <w:rsid w:val="1FB738D7"/>
    <w:rsid w:val="1FBC0EEE"/>
    <w:rsid w:val="1FBF278C"/>
    <w:rsid w:val="1FC14756"/>
    <w:rsid w:val="1FC63B1B"/>
    <w:rsid w:val="1FC73179"/>
    <w:rsid w:val="1FCB1131"/>
    <w:rsid w:val="1FCF6E73"/>
    <w:rsid w:val="1FD004F5"/>
    <w:rsid w:val="1FD04999"/>
    <w:rsid w:val="1FD60202"/>
    <w:rsid w:val="1FD77AD6"/>
    <w:rsid w:val="1FDA1374"/>
    <w:rsid w:val="1FDC50EC"/>
    <w:rsid w:val="1FE521F3"/>
    <w:rsid w:val="1FE7539E"/>
    <w:rsid w:val="1FF266BE"/>
    <w:rsid w:val="1FF27875"/>
    <w:rsid w:val="1FF42436"/>
    <w:rsid w:val="1FF93EF0"/>
    <w:rsid w:val="20000DDB"/>
    <w:rsid w:val="2007660D"/>
    <w:rsid w:val="20142AD8"/>
    <w:rsid w:val="20146634"/>
    <w:rsid w:val="201605FE"/>
    <w:rsid w:val="20176124"/>
    <w:rsid w:val="2017658A"/>
    <w:rsid w:val="201A79C2"/>
    <w:rsid w:val="201B5C14"/>
    <w:rsid w:val="20250841"/>
    <w:rsid w:val="20254CE5"/>
    <w:rsid w:val="20301620"/>
    <w:rsid w:val="20322F5E"/>
    <w:rsid w:val="20337402"/>
    <w:rsid w:val="203B0065"/>
    <w:rsid w:val="203E5DA7"/>
    <w:rsid w:val="2040567B"/>
    <w:rsid w:val="20411C2C"/>
    <w:rsid w:val="204E28A5"/>
    <w:rsid w:val="204F1D62"/>
    <w:rsid w:val="20515ADA"/>
    <w:rsid w:val="20547378"/>
    <w:rsid w:val="205D447F"/>
    <w:rsid w:val="206375BB"/>
    <w:rsid w:val="20671BE0"/>
    <w:rsid w:val="206A6B9C"/>
    <w:rsid w:val="20711CD8"/>
    <w:rsid w:val="20717F2A"/>
    <w:rsid w:val="20801F1B"/>
    <w:rsid w:val="20823EE5"/>
    <w:rsid w:val="208337BA"/>
    <w:rsid w:val="208B6D28"/>
    <w:rsid w:val="20963CB8"/>
    <w:rsid w:val="209D0D1F"/>
    <w:rsid w:val="20A81A1B"/>
    <w:rsid w:val="20AC0F62"/>
    <w:rsid w:val="20B07FB6"/>
    <w:rsid w:val="20B45646"/>
    <w:rsid w:val="20B61DE1"/>
    <w:rsid w:val="20B646FB"/>
    <w:rsid w:val="20B6486E"/>
    <w:rsid w:val="20B85568"/>
    <w:rsid w:val="20BD316F"/>
    <w:rsid w:val="20C41A43"/>
    <w:rsid w:val="20C53DD2"/>
    <w:rsid w:val="20CE0ED9"/>
    <w:rsid w:val="20D02EA3"/>
    <w:rsid w:val="20D8496C"/>
    <w:rsid w:val="20D858B3"/>
    <w:rsid w:val="20DD111C"/>
    <w:rsid w:val="20DD728C"/>
    <w:rsid w:val="20E26732"/>
    <w:rsid w:val="20EC5803"/>
    <w:rsid w:val="20F63442"/>
    <w:rsid w:val="20F808EE"/>
    <w:rsid w:val="20FA0E09"/>
    <w:rsid w:val="20FF72E4"/>
    <w:rsid w:val="210963B5"/>
    <w:rsid w:val="210C1A01"/>
    <w:rsid w:val="210C7C53"/>
    <w:rsid w:val="21104959"/>
    <w:rsid w:val="211D59BC"/>
    <w:rsid w:val="21217C42"/>
    <w:rsid w:val="21260D15"/>
    <w:rsid w:val="21294361"/>
    <w:rsid w:val="212C5E28"/>
    <w:rsid w:val="21327383"/>
    <w:rsid w:val="213571AA"/>
    <w:rsid w:val="213B74B1"/>
    <w:rsid w:val="213F1DD6"/>
    <w:rsid w:val="21415B4F"/>
    <w:rsid w:val="21472A39"/>
    <w:rsid w:val="21505D92"/>
    <w:rsid w:val="21537630"/>
    <w:rsid w:val="21584C46"/>
    <w:rsid w:val="215A09BE"/>
    <w:rsid w:val="215A2310"/>
    <w:rsid w:val="216536A1"/>
    <w:rsid w:val="21696E53"/>
    <w:rsid w:val="216B497A"/>
    <w:rsid w:val="21717AB6"/>
    <w:rsid w:val="21751354"/>
    <w:rsid w:val="217C26E3"/>
    <w:rsid w:val="217E2DB8"/>
    <w:rsid w:val="21965F59"/>
    <w:rsid w:val="219C0FD7"/>
    <w:rsid w:val="219E6AFD"/>
    <w:rsid w:val="219F63D1"/>
    <w:rsid w:val="21A250B6"/>
    <w:rsid w:val="21A853BA"/>
    <w:rsid w:val="21AF47B7"/>
    <w:rsid w:val="21B300CF"/>
    <w:rsid w:val="21C10A3D"/>
    <w:rsid w:val="21C61BB0"/>
    <w:rsid w:val="21C916A0"/>
    <w:rsid w:val="21D00C81"/>
    <w:rsid w:val="21D06ED2"/>
    <w:rsid w:val="21D37566"/>
    <w:rsid w:val="21DE318A"/>
    <w:rsid w:val="21DF2C72"/>
    <w:rsid w:val="21DF3896"/>
    <w:rsid w:val="21E36C06"/>
    <w:rsid w:val="21E604A4"/>
    <w:rsid w:val="21E85FCA"/>
    <w:rsid w:val="21EA1CBF"/>
    <w:rsid w:val="21ED35E0"/>
    <w:rsid w:val="21EF5B80"/>
    <w:rsid w:val="21F26E49"/>
    <w:rsid w:val="21F901D7"/>
    <w:rsid w:val="21FC7CC7"/>
    <w:rsid w:val="21FE759C"/>
    <w:rsid w:val="22007C7E"/>
    <w:rsid w:val="22056B7C"/>
    <w:rsid w:val="220F3557"/>
    <w:rsid w:val="22252DA0"/>
    <w:rsid w:val="222C235B"/>
    <w:rsid w:val="222F3BF9"/>
    <w:rsid w:val="22317971"/>
    <w:rsid w:val="22364F87"/>
    <w:rsid w:val="22407BB4"/>
    <w:rsid w:val="224705F5"/>
    <w:rsid w:val="22576990"/>
    <w:rsid w:val="226E2973"/>
    <w:rsid w:val="227855A0"/>
    <w:rsid w:val="227930C6"/>
    <w:rsid w:val="227B0BEC"/>
    <w:rsid w:val="2285204B"/>
    <w:rsid w:val="2288155B"/>
    <w:rsid w:val="22965A26"/>
    <w:rsid w:val="22A2261D"/>
    <w:rsid w:val="22A7627C"/>
    <w:rsid w:val="22AC524A"/>
    <w:rsid w:val="22AD4B1E"/>
    <w:rsid w:val="22B11907"/>
    <w:rsid w:val="22B934C3"/>
    <w:rsid w:val="22BB723B"/>
    <w:rsid w:val="22BE4F7D"/>
    <w:rsid w:val="22C00CF5"/>
    <w:rsid w:val="22C45910"/>
    <w:rsid w:val="22CE3412"/>
    <w:rsid w:val="22D36C7A"/>
    <w:rsid w:val="22D66D30"/>
    <w:rsid w:val="22D8603F"/>
    <w:rsid w:val="22DC04A8"/>
    <w:rsid w:val="22DF561F"/>
    <w:rsid w:val="22E569AE"/>
    <w:rsid w:val="22EE7610"/>
    <w:rsid w:val="22EF5136"/>
    <w:rsid w:val="22F47480"/>
    <w:rsid w:val="22FD3CF7"/>
    <w:rsid w:val="23012161"/>
    <w:rsid w:val="23072480"/>
    <w:rsid w:val="230B6414"/>
    <w:rsid w:val="23152DEF"/>
    <w:rsid w:val="231F3C6E"/>
    <w:rsid w:val="232B2612"/>
    <w:rsid w:val="232C1EE7"/>
    <w:rsid w:val="232C221B"/>
    <w:rsid w:val="232C6D10"/>
    <w:rsid w:val="232E2103"/>
    <w:rsid w:val="23307C29"/>
    <w:rsid w:val="23391A24"/>
    <w:rsid w:val="233A2855"/>
    <w:rsid w:val="233D40F4"/>
    <w:rsid w:val="23474F72"/>
    <w:rsid w:val="23496F3C"/>
    <w:rsid w:val="2355143D"/>
    <w:rsid w:val="235978A2"/>
    <w:rsid w:val="235A2EF8"/>
    <w:rsid w:val="23604045"/>
    <w:rsid w:val="236A4885"/>
    <w:rsid w:val="236B2A0F"/>
    <w:rsid w:val="23730C86"/>
    <w:rsid w:val="23810A9B"/>
    <w:rsid w:val="23897AFE"/>
    <w:rsid w:val="238B30B1"/>
    <w:rsid w:val="23931F66"/>
    <w:rsid w:val="23952182"/>
    <w:rsid w:val="23957A8C"/>
    <w:rsid w:val="239C52BE"/>
    <w:rsid w:val="239D4B92"/>
    <w:rsid w:val="239F090A"/>
    <w:rsid w:val="23BC326A"/>
    <w:rsid w:val="23BD6755"/>
    <w:rsid w:val="23BF71FF"/>
    <w:rsid w:val="23C16AD3"/>
    <w:rsid w:val="23C30A9D"/>
    <w:rsid w:val="23C67733"/>
    <w:rsid w:val="23CB7951"/>
    <w:rsid w:val="23CE7442"/>
    <w:rsid w:val="23D22A8E"/>
    <w:rsid w:val="23D3133D"/>
    <w:rsid w:val="23D5432C"/>
    <w:rsid w:val="23D902C0"/>
    <w:rsid w:val="23DE1C48"/>
    <w:rsid w:val="23E26F0C"/>
    <w:rsid w:val="23E40A13"/>
    <w:rsid w:val="23E427C1"/>
    <w:rsid w:val="23E80503"/>
    <w:rsid w:val="23F01166"/>
    <w:rsid w:val="23F76998"/>
    <w:rsid w:val="240210CD"/>
    <w:rsid w:val="24062738"/>
    <w:rsid w:val="241F1A4B"/>
    <w:rsid w:val="241F37F9"/>
    <w:rsid w:val="24343749"/>
    <w:rsid w:val="243C43AB"/>
    <w:rsid w:val="244020ED"/>
    <w:rsid w:val="244A4D1A"/>
    <w:rsid w:val="244F2331"/>
    <w:rsid w:val="24572F93"/>
    <w:rsid w:val="24575689"/>
    <w:rsid w:val="245931AF"/>
    <w:rsid w:val="245A2A83"/>
    <w:rsid w:val="245E2574"/>
    <w:rsid w:val="24612064"/>
    <w:rsid w:val="24681644"/>
    <w:rsid w:val="24743B45"/>
    <w:rsid w:val="24782F87"/>
    <w:rsid w:val="2479562D"/>
    <w:rsid w:val="24855D52"/>
    <w:rsid w:val="24963743"/>
    <w:rsid w:val="24975A86"/>
    <w:rsid w:val="2499797E"/>
    <w:rsid w:val="249E0BC2"/>
    <w:rsid w:val="249E5066"/>
    <w:rsid w:val="24A563F4"/>
    <w:rsid w:val="24A87C93"/>
    <w:rsid w:val="24B2466D"/>
    <w:rsid w:val="24B403E6"/>
    <w:rsid w:val="24B86128"/>
    <w:rsid w:val="24B91EA0"/>
    <w:rsid w:val="24BF09F7"/>
    <w:rsid w:val="24C34ACD"/>
    <w:rsid w:val="24C3687B"/>
    <w:rsid w:val="24C745BD"/>
    <w:rsid w:val="24D171E9"/>
    <w:rsid w:val="24D932CD"/>
    <w:rsid w:val="24D9609E"/>
    <w:rsid w:val="24E16D01"/>
    <w:rsid w:val="24E76A0D"/>
    <w:rsid w:val="24E862E1"/>
    <w:rsid w:val="24E94533"/>
    <w:rsid w:val="24F353B2"/>
    <w:rsid w:val="24F609FE"/>
    <w:rsid w:val="24F66C50"/>
    <w:rsid w:val="25090731"/>
    <w:rsid w:val="25135161"/>
    <w:rsid w:val="25164BFC"/>
    <w:rsid w:val="251D242F"/>
    <w:rsid w:val="252950A3"/>
    <w:rsid w:val="252D53FE"/>
    <w:rsid w:val="252F3F10"/>
    <w:rsid w:val="25317C88"/>
    <w:rsid w:val="25331C52"/>
    <w:rsid w:val="253634F0"/>
    <w:rsid w:val="253A4D8F"/>
    <w:rsid w:val="253B28B5"/>
    <w:rsid w:val="253D487F"/>
    <w:rsid w:val="253F4153"/>
    <w:rsid w:val="255045B2"/>
    <w:rsid w:val="2551032A"/>
    <w:rsid w:val="255120D8"/>
    <w:rsid w:val="25513E86"/>
    <w:rsid w:val="255319AC"/>
    <w:rsid w:val="25535E50"/>
    <w:rsid w:val="25561143"/>
    <w:rsid w:val="25586D5D"/>
    <w:rsid w:val="255D6CCF"/>
    <w:rsid w:val="25626093"/>
    <w:rsid w:val="256C2A6E"/>
    <w:rsid w:val="25764EEB"/>
    <w:rsid w:val="257760D2"/>
    <w:rsid w:val="257858B7"/>
    <w:rsid w:val="258C1362"/>
    <w:rsid w:val="259049AF"/>
    <w:rsid w:val="259C77F7"/>
    <w:rsid w:val="25A246E2"/>
    <w:rsid w:val="25A62424"/>
    <w:rsid w:val="25A84F00"/>
    <w:rsid w:val="25AA047A"/>
    <w:rsid w:val="25B032A3"/>
    <w:rsid w:val="25B06DFF"/>
    <w:rsid w:val="25B368EF"/>
    <w:rsid w:val="25B606E4"/>
    <w:rsid w:val="25B61F3B"/>
    <w:rsid w:val="25C7239A"/>
    <w:rsid w:val="25CE3729"/>
    <w:rsid w:val="25D1584C"/>
    <w:rsid w:val="25DA20CE"/>
    <w:rsid w:val="25E44CFA"/>
    <w:rsid w:val="25E82A3D"/>
    <w:rsid w:val="25EC2D81"/>
    <w:rsid w:val="26040EF9"/>
    <w:rsid w:val="2609650F"/>
    <w:rsid w:val="260B2287"/>
    <w:rsid w:val="260D24A3"/>
    <w:rsid w:val="26103D41"/>
    <w:rsid w:val="261750D0"/>
    <w:rsid w:val="261F21D6"/>
    <w:rsid w:val="26215F4F"/>
    <w:rsid w:val="26235823"/>
    <w:rsid w:val="2628108B"/>
    <w:rsid w:val="262B6CFD"/>
    <w:rsid w:val="263A2B6C"/>
    <w:rsid w:val="263F63D5"/>
    <w:rsid w:val="26435EC5"/>
    <w:rsid w:val="26467763"/>
    <w:rsid w:val="264B6B28"/>
    <w:rsid w:val="26527EB6"/>
    <w:rsid w:val="266320C3"/>
    <w:rsid w:val="26663961"/>
    <w:rsid w:val="2668592C"/>
    <w:rsid w:val="266A16A4"/>
    <w:rsid w:val="266B71CA"/>
    <w:rsid w:val="26720558"/>
    <w:rsid w:val="26753BA5"/>
    <w:rsid w:val="26775B6F"/>
    <w:rsid w:val="267A740D"/>
    <w:rsid w:val="26830430"/>
    <w:rsid w:val="2685028B"/>
    <w:rsid w:val="268A3AF4"/>
    <w:rsid w:val="268A58A2"/>
    <w:rsid w:val="269404CF"/>
    <w:rsid w:val="269E759F"/>
    <w:rsid w:val="26A06E73"/>
    <w:rsid w:val="26A12BEB"/>
    <w:rsid w:val="26A265D5"/>
    <w:rsid w:val="26A440C8"/>
    <w:rsid w:val="26A76454"/>
    <w:rsid w:val="26AC220D"/>
    <w:rsid w:val="26AF70B6"/>
    <w:rsid w:val="26B648E9"/>
    <w:rsid w:val="26BE7476"/>
    <w:rsid w:val="26C30DB4"/>
    <w:rsid w:val="26C62652"/>
    <w:rsid w:val="26CB02AF"/>
    <w:rsid w:val="26CD39E1"/>
    <w:rsid w:val="26D0702D"/>
    <w:rsid w:val="26D134D1"/>
    <w:rsid w:val="26DE5BEE"/>
    <w:rsid w:val="26DF209D"/>
    <w:rsid w:val="26E03714"/>
    <w:rsid w:val="26FC7E22"/>
    <w:rsid w:val="26FE1DEC"/>
    <w:rsid w:val="27127645"/>
    <w:rsid w:val="271B16CC"/>
    <w:rsid w:val="271E5FEA"/>
    <w:rsid w:val="27257379"/>
    <w:rsid w:val="272C0707"/>
    <w:rsid w:val="272E0923"/>
    <w:rsid w:val="272E4962"/>
    <w:rsid w:val="27314692"/>
    <w:rsid w:val="27351CB2"/>
    <w:rsid w:val="273677D8"/>
    <w:rsid w:val="273852FE"/>
    <w:rsid w:val="273D0B66"/>
    <w:rsid w:val="273E668C"/>
    <w:rsid w:val="273F21B5"/>
    <w:rsid w:val="27400656"/>
    <w:rsid w:val="274719E5"/>
    <w:rsid w:val="27561C28"/>
    <w:rsid w:val="275639D6"/>
    <w:rsid w:val="27644345"/>
    <w:rsid w:val="2769195B"/>
    <w:rsid w:val="276D1D14"/>
    <w:rsid w:val="277057A2"/>
    <w:rsid w:val="27710810"/>
    <w:rsid w:val="277125BE"/>
    <w:rsid w:val="277D0F28"/>
    <w:rsid w:val="277D5407"/>
    <w:rsid w:val="277F117F"/>
    <w:rsid w:val="27826579"/>
    <w:rsid w:val="27870033"/>
    <w:rsid w:val="27894419"/>
    <w:rsid w:val="278A18D2"/>
    <w:rsid w:val="278B7B24"/>
    <w:rsid w:val="278C389C"/>
    <w:rsid w:val="278D39F6"/>
    <w:rsid w:val="278F0C96"/>
    <w:rsid w:val="2790513A"/>
    <w:rsid w:val="27910EB2"/>
    <w:rsid w:val="27985D9D"/>
    <w:rsid w:val="279B3ADF"/>
    <w:rsid w:val="27A74232"/>
    <w:rsid w:val="27A847C5"/>
    <w:rsid w:val="27A97FAA"/>
    <w:rsid w:val="27B16FB8"/>
    <w:rsid w:val="27B87321"/>
    <w:rsid w:val="27BA21B7"/>
    <w:rsid w:val="27DA4607"/>
    <w:rsid w:val="27DB3EDB"/>
    <w:rsid w:val="27E170F3"/>
    <w:rsid w:val="27F31225"/>
    <w:rsid w:val="27F37477"/>
    <w:rsid w:val="27F531EF"/>
    <w:rsid w:val="27F60D15"/>
    <w:rsid w:val="28074CD0"/>
    <w:rsid w:val="28245882"/>
    <w:rsid w:val="282835C4"/>
    <w:rsid w:val="2829733C"/>
    <w:rsid w:val="2831044E"/>
    <w:rsid w:val="28333D17"/>
    <w:rsid w:val="2835373C"/>
    <w:rsid w:val="283A32F8"/>
    <w:rsid w:val="284D4E05"/>
    <w:rsid w:val="28506677"/>
    <w:rsid w:val="286B2CA4"/>
    <w:rsid w:val="286D5A1E"/>
    <w:rsid w:val="286D7229"/>
    <w:rsid w:val="2870637C"/>
    <w:rsid w:val="287700A8"/>
    <w:rsid w:val="287C746C"/>
    <w:rsid w:val="288D78CB"/>
    <w:rsid w:val="289447B6"/>
    <w:rsid w:val="289A5B44"/>
    <w:rsid w:val="289B1FE8"/>
    <w:rsid w:val="28A569C3"/>
    <w:rsid w:val="28A80261"/>
    <w:rsid w:val="28B5297E"/>
    <w:rsid w:val="28C52BC1"/>
    <w:rsid w:val="28C57065"/>
    <w:rsid w:val="28C80903"/>
    <w:rsid w:val="28CF57EE"/>
    <w:rsid w:val="28D252DE"/>
    <w:rsid w:val="28D56B7C"/>
    <w:rsid w:val="28D63020"/>
    <w:rsid w:val="28D97959"/>
    <w:rsid w:val="28DB0637"/>
    <w:rsid w:val="28E079FB"/>
    <w:rsid w:val="28F11C08"/>
    <w:rsid w:val="28F416F8"/>
    <w:rsid w:val="28F90ABD"/>
    <w:rsid w:val="28FD67A9"/>
    <w:rsid w:val="29001E4B"/>
    <w:rsid w:val="29003BF9"/>
    <w:rsid w:val="290556B4"/>
    <w:rsid w:val="291853E7"/>
    <w:rsid w:val="2919115F"/>
    <w:rsid w:val="29192F0D"/>
    <w:rsid w:val="291D0C4F"/>
    <w:rsid w:val="29206EB8"/>
    <w:rsid w:val="29233D8C"/>
    <w:rsid w:val="292813A2"/>
    <w:rsid w:val="292F0982"/>
    <w:rsid w:val="293715E5"/>
    <w:rsid w:val="293E0BC6"/>
    <w:rsid w:val="294361DC"/>
    <w:rsid w:val="294E0E09"/>
    <w:rsid w:val="295108F9"/>
    <w:rsid w:val="29514455"/>
    <w:rsid w:val="2956167E"/>
    <w:rsid w:val="29564161"/>
    <w:rsid w:val="29565F0F"/>
    <w:rsid w:val="29595666"/>
    <w:rsid w:val="295A26F1"/>
    <w:rsid w:val="29656152"/>
    <w:rsid w:val="296C128F"/>
    <w:rsid w:val="298011DE"/>
    <w:rsid w:val="298505A2"/>
    <w:rsid w:val="2987431B"/>
    <w:rsid w:val="29874881"/>
    <w:rsid w:val="298A7967"/>
    <w:rsid w:val="298F31CF"/>
    <w:rsid w:val="29954C89"/>
    <w:rsid w:val="2996455E"/>
    <w:rsid w:val="29AC3D81"/>
    <w:rsid w:val="29BC47D5"/>
    <w:rsid w:val="29BD5F8E"/>
    <w:rsid w:val="29C410CB"/>
    <w:rsid w:val="29CC4423"/>
    <w:rsid w:val="29D37560"/>
    <w:rsid w:val="29D55086"/>
    <w:rsid w:val="29D56857"/>
    <w:rsid w:val="29E325E0"/>
    <w:rsid w:val="29EA6657"/>
    <w:rsid w:val="29EE6148"/>
    <w:rsid w:val="29F01EC0"/>
    <w:rsid w:val="29F3375E"/>
    <w:rsid w:val="29F574D6"/>
    <w:rsid w:val="2A051102"/>
    <w:rsid w:val="2A067935"/>
    <w:rsid w:val="2A0B6CFA"/>
    <w:rsid w:val="2A0D62FC"/>
    <w:rsid w:val="2A0F0460"/>
    <w:rsid w:val="2A0F3EA5"/>
    <w:rsid w:val="2A1A6F3D"/>
    <w:rsid w:val="2A1C2CB5"/>
    <w:rsid w:val="2A1D6A2D"/>
    <w:rsid w:val="2A2B114A"/>
    <w:rsid w:val="2A30050E"/>
    <w:rsid w:val="2A3D0E7D"/>
    <w:rsid w:val="2A3D2C2B"/>
    <w:rsid w:val="2A44045E"/>
    <w:rsid w:val="2A452503"/>
    <w:rsid w:val="2A4B359A"/>
    <w:rsid w:val="2A503127"/>
    <w:rsid w:val="2A5A558B"/>
    <w:rsid w:val="2A612DBE"/>
    <w:rsid w:val="2A61691A"/>
    <w:rsid w:val="2A677CA8"/>
    <w:rsid w:val="2A697EC4"/>
    <w:rsid w:val="2A74602D"/>
    <w:rsid w:val="2A7A3E7F"/>
    <w:rsid w:val="2A7D127A"/>
    <w:rsid w:val="2A7F3244"/>
    <w:rsid w:val="2A832D34"/>
    <w:rsid w:val="2A8374EE"/>
    <w:rsid w:val="2A84085A"/>
    <w:rsid w:val="2A87085C"/>
    <w:rsid w:val="2A930A9D"/>
    <w:rsid w:val="2A9A1E2C"/>
    <w:rsid w:val="2AA045A0"/>
    <w:rsid w:val="2AB90504"/>
    <w:rsid w:val="2ABB0720"/>
    <w:rsid w:val="2ACF7D27"/>
    <w:rsid w:val="2AE13EFE"/>
    <w:rsid w:val="2AE8703B"/>
    <w:rsid w:val="2AF21C68"/>
    <w:rsid w:val="2AF754D0"/>
    <w:rsid w:val="2B0674C1"/>
    <w:rsid w:val="2B0B2D29"/>
    <w:rsid w:val="2B0B4AD7"/>
    <w:rsid w:val="2B110340"/>
    <w:rsid w:val="2B1971F4"/>
    <w:rsid w:val="2B1B11BE"/>
    <w:rsid w:val="2B1C0A93"/>
    <w:rsid w:val="2B22254D"/>
    <w:rsid w:val="2B255B99"/>
    <w:rsid w:val="2B275DB5"/>
    <w:rsid w:val="2B2F4C6A"/>
    <w:rsid w:val="2B34402E"/>
    <w:rsid w:val="2B3D7387"/>
    <w:rsid w:val="2B3E30FF"/>
    <w:rsid w:val="2B400742"/>
    <w:rsid w:val="2B53754A"/>
    <w:rsid w:val="2B591CE7"/>
    <w:rsid w:val="2B593A95"/>
    <w:rsid w:val="2B603075"/>
    <w:rsid w:val="2B620B9B"/>
    <w:rsid w:val="2B683CD8"/>
    <w:rsid w:val="2B6A3EF4"/>
    <w:rsid w:val="2B6F6851"/>
    <w:rsid w:val="2B762899"/>
    <w:rsid w:val="2B822FEC"/>
    <w:rsid w:val="2B826520"/>
    <w:rsid w:val="2B830B12"/>
    <w:rsid w:val="2B836D64"/>
    <w:rsid w:val="2B85488A"/>
    <w:rsid w:val="2B8C5C18"/>
    <w:rsid w:val="2B9D6077"/>
    <w:rsid w:val="2B9E594C"/>
    <w:rsid w:val="2BA016C4"/>
    <w:rsid w:val="2BA07916"/>
    <w:rsid w:val="2BA72A52"/>
    <w:rsid w:val="2BA936A8"/>
    <w:rsid w:val="2BA94A1C"/>
    <w:rsid w:val="2BB533C1"/>
    <w:rsid w:val="2BBB474F"/>
    <w:rsid w:val="2BC453B2"/>
    <w:rsid w:val="2BC5737C"/>
    <w:rsid w:val="2BCA6741"/>
    <w:rsid w:val="2BD17ACF"/>
    <w:rsid w:val="2BD650E5"/>
    <w:rsid w:val="2BDB0CF3"/>
    <w:rsid w:val="2BDB32F1"/>
    <w:rsid w:val="2BE75544"/>
    <w:rsid w:val="2BF67536"/>
    <w:rsid w:val="2C042FDA"/>
    <w:rsid w:val="2C0A417D"/>
    <w:rsid w:val="2C0A4D8F"/>
    <w:rsid w:val="2C0C6D59"/>
    <w:rsid w:val="2C0E2AD1"/>
    <w:rsid w:val="2C11436F"/>
    <w:rsid w:val="2C12152F"/>
    <w:rsid w:val="2C1520B2"/>
    <w:rsid w:val="2C1A3224"/>
    <w:rsid w:val="2C1B4EEB"/>
    <w:rsid w:val="2C22032B"/>
    <w:rsid w:val="2C267E1B"/>
    <w:rsid w:val="2C273A79"/>
    <w:rsid w:val="2C315A5A"/>
    <w:rsid w:val="2C351E0C"/>
    <w:rsid w:val="2C396AD4"/>
    <w:rsid w:val="2C3A5674"/>
    <w:rsid w:val="2C445C14"/>
    <w:rsid w:val="2C47420C"/>
    <w:rsid w:val="2C4B1C25"/>
    <w:rsid w:val="2C4D184B"/>
    <w:rsid w:val="2C572ADA"/>
    <w:rsid w:val="2C6170A5"/>
    <w:rsid w:val="2C6D5A4A"/>
    <w:rsid w:val="2C73502A"/>
    <w:rsid w:val="2C7E7C57"/>
    <w:rsid w:val="2C840FE5"/>
    <w:rsid w:val="2C8D7E9A"/>
    <w:rsid w:val="2C8F405B"/>
    <w:rsid w:val="2C931228"/>
    <w:rsid w:val="2C970D19"/>
    <w:rsid w:val="2CA361F9"/>
    <w:rsid w:val="2CB216AE"/>
    <w:rsid w:val="2CB82A3D"/>
    <w:rsid w:val="2CC47634"/>
    <w:rsid w:val="2CCB09C2"/>
    <w:rsid w:val="2CD21D51"/>
    <w:rsid w:val="2CD930DF"/>
    <w:rsid w:val="2CDA29B3"/>
    <w:rsid w:val="2CDC2BCF"/>
    <w:rsid w:val="2CE55D92"/>
    <w:rsid w:val="2CE66931"/>
    <w:rsid w:val="2CE81574"/>
    <w:rsid w:val="2CF63C91"/>
    <w:rsid w:val="2CF77A09"/>
    <w:rsid w:val="2CFE48F4"/>
    <w:rsid w:val="2D012636"/>
    <w:rsid w:val="2D03015C"/>
    <w:rsid w:val="2D0839C4"/>
    <w:rsid w:val="2D085772"/>
    <w:rsid w:val="2D0D2D89"/>
    <w:rsid w:val="2D102879"/>
    <w:rsid w:val="2D1265F1"/>
    <w:rsid w:val="2D1B4134"/>
    <w:rsid w:val="2D216834"/>
    <w:rsid w:val="2D2307FE"/>
    <w:rsid w:val="2D2A393B"/>
    <w:rsid w:val="2D2B320F"/>
    <w:rsid w:val="2D3E73E6"/>
    <w:rsid w:val="2D426ED6"/>
    <w:rsid w:val="2D4349FC"/>
    <w:rsid w:val="2D4367AA"/>
    <w:rsid w:val="2D4744ED"/>
    <w:rsid w:val="2D4A5D8B"/>
    <w:rsid w:val="2D5C5ABE"/>
    <w:rsid w:val="2D670153"/>
    <w:rsid w:val="2D690B1A"/>
    <w:rsid w:val="2D7050C6"/>
    <w:rsid w:val="2D735A67"/>
    <w:rsid w:val="2D750387"/>
    <w:rsid w:val="2D776454"/>
    <w:rsid w:val="2D79041E"/>
    <w:rsid w:val="2D7B7CF2"/>
    <w:rsid w:val="2D825115"/>
    <w:rsid w:val="2D855015"/>
    <w:rsid w:val="2D9E56F5"/>
    <w:rsid w:val="2DA76D39"/>
    <w:rsid w:val="2DAC07F4"/>
    <w:rsid w:val="2DB256DE"/>
    <w:rsid w:val="2DB31B82"/>
    <w:rsid w:val="2DB476A8"/>
    <w:rsid w:val="2DB504F2"/>
    <w:rsid w:val="2DC31699"/>
    <w:rsid w:val="2DD1025A"/>
    <w:rsid w:val="2DD13DB6"/>
    <w:rsid w:val="2DD35D80"/>
    <w:rsid w:val="2DD937E5"/>
    <w:rsid w:val="2DDB4C35"/>
    <w:rsid w:val="2DDD09AD"/>
    <w:rsid w:val="2DE33AEA"/>
    <w:rsid w:val="2DE81100"/>
    <w:rsid w:val="2DEE2BBA"/>
    <w:rsid w:val="2DF47AA5"/>
    <w:rsid w:val="2DFA155F"/>
    <w:rsid w:val="2DFB7085"/>
    <w:rsid w:val="2DFD4BAB"/>
    <w:rsid w:val="2E00644A"/>
    <w:rsid w:val="2E026666"/>
    <w:rsid w:val="2E073C7C"/>
    <w:rsid w:val="2E0D14AB"/>
    <w:rsid w:val="2E132621"/>
    <w:rsid w:val="2E13617D"/>
    <w:rsid w:val="2E156399"/>
    <w:rsid w:val="2E1662EC"/>
    <w:rsid w:val="2E2444F0"/>
    <w:rsid w:val="2E254102"/>
    <w:rsid w:val="2E277E7A"/>
    <w:rsid w:val="2E2C723F"/>
    <w:rsid w:val="2E314855"/>
    <w:rsid w:val="2E382087"/>
    <w:rsid w:val="2E513149"/>
    <w:rsid w:val="2E5B6700"/>
    <w:rsid w:val="2E667F96"/>
    <w:rsid w:val="2E693FEF"/>
    <w:rsid w:val="2E6F5414"/>
    <w:rsid w:val="2E8226AB"/>
    <w:rsid w:val="2E89643F"/>
    <w:rsid w:val="2E9165F9"/>
    <w:rsid w:val="2E976DAE"/>
    <w:rsid w:val="2E9F2106"/>
    <w:rsid w:val="2EA93C46"/>
    <w:rsid w:val="2EAD77E1"/>
    <w:rsid w:val="2EB37960"/>
    <w:rsid w:val="2EB67A5C"/>
    <w:rsid w:val="2EB72FAC"/>
    <w:rsid w:val="2EB931C8"/>
    <w:rsid w:val="2EBE07DF"/>
    <w:rsid w:val="2EC13E2B"/>
    <w:rsid w:val="2EC61441"/>
    <w:rsid w:val="2EC67693"/>
    <w:rsid w:val="2EC90F31"/>
    <w:rsid w:val="2EC933E5"/>
    <w:rsid w:val="2ECB1C20"/>
    <w:rsid w:val="2ECB2EFB"/>
    <w:rsid w:val="2ECD0A22"/>
    <w:rsid w:val="2EDC0C65"/>
    <w:rsid w:val="2EDF6121"/>
    <w:rsid w:val="2EE23DA1"/>
    <w:rsid w:val="2EE43FBD"/>
    <w:rsid w:val="2EF02962"/>
    <w:rsid w:val="2EF20132"/>
    <w:rsid w:val="2EFA10EB"/>
    <w:rsid w:val="2EFA558F"/>
    <w:rsid w:val="2EFE507F"/>
    <w:rsid w:val="2F0026A8"/>
    <w:rsid w:val="2F021F82"/>
    <w:rsid w:val="2F0D52C2"/>
    <w:rsid w:val="2F195A15"/>
    <w:rsid w:val="2F1E74CF"/>
    <w:rsid w:val="2F2D7712"/>
    <w:rsid w:val="2F2F348A"/>
    <w:rsid w:val="2F350375"/>
    <w:rsid w:val="2F370591"/>
    <w:rsid w:val="2F3A3BDD"/>
    <w:rsid w:val="2F3E191F"/>
    <w:rsid w:val="2F4D1B62"/>
    <w:rsid w:val="2F4F7689"/>
    <w:rsid w:val="2F5922B5"/>
    <w:rsid w:val="2F5E78CC"/>
    <w:rsid w:val="2F6335DB"/>
    <w:rsid w:val="2F745341"/>
    <w:rsid w:val="2F7B047E"/>
    <w:rsid w:val="2F7E1D1C"/>
    <w:rsid w:val="2F807842"/>
    <w:rsid w:val="2F837332"/>
    <w:rsid w:val="2F8512FC"/>
    <w:rsid w:val="2F882B9B"/>
    <w:rsid w:val="2F8A06C1"/>
    <w:rsid w:val="2F8F5CD7"/>
    <w:rsid w:val="2F947791"/>
    <w:rsid w:val="2F971030"/>
    <w:rsid w:val="2F9A37FA"/>
    <w:rsid w:val="2FA07EE4"/>
    <w:rsid w:val="2FA8323D"/>
    <w:rsid w:val="2FAA48BF"/>
    <w:rsid w:val="2FBC2844"/>
    <w:rsid w:val="2FBE036A"/>
    <w:rsid w:val="2FC35981"/>
    <w:rsid w:val="2FC516F9"/>
    <w:rsid w:val="2FC82F97"/>
    <w:rsid w:val="2FD065E6"/>
    <w:rsid w:val="2FD96870"/>
    <w:rsid w:val="2FE51D9B"/>
    <w:rsid w:val="2FE57FED"/>
    <w:rsid w:val="2FE853E7"/>
    <w:rsid w:val="2FEC137B"/>
    <w:rsid w:val="2FEC4ED7"/>
    <w:rsid w:val="2FF63FA8"/>
    <w:rsid w:val="2FF85159"/>
    <w:rsid w:val="2FF86323"/>
    <w:rsid w:val="2FFA3A98"/>
    <w:rsid w:val="30071D11"/>
    <w:rsid w:val="300A3308"/>
    <w:rsid w:val="300A35B0"/>
    <w:rsid w:val="300C7328"/>
    <w:rsid w:val="3011060A"/>
    <w:rsid w:val="30110DE2"/>
    <w:rsid w:val="3014442E"/>
    <w:rsid w:val="301937F3"/>
    <w:rsid w:val="302400EF"/>
    <w:rsid w:val="302723B3"/>
    <w:rsid w:val="30322716"/>
    <w:rsid w:val="30393E95"/>
    <w:rsid w:val="303F76FD"/>
    <w:rsid w:val="30542A7D"/>
    <w:rsid w:val="30556F21"/>
    <w:rsid w:val="30580BC9"/>
    <w:rsid w:val="30590093"/>
    <w:rsid w:val="305A4537"/>
    <w:rsid w:val="305A62E5"/>
    <w:rsid w:val="30621680"/>
    <w:rsid w:val="306232AC"/>
    <w:rsid w:val="306B04F2"/>
    <w:rsid w:val="306C426A"/>
    <w:rsid w:val="3071362F"/>
    <w:rsid w:val="30731155"/>
    <w:rsid w:val="307A0735"/>
    <w:rsid w:val="307B44AD"/>
    <w:rsid w:val="308A649E"/>
    <w:rsid w:val="30901D07"/>
    <w:rsid w:val="309317F7"/>
    <w:rsid w:val="3095556F"/>
    <w:rsid w:val="30976A2E"/>
    <w:rsid w:val="309D2676"/>
    <w:rsid w:val="30A21A3A"/>
    <w:rsid w:val="30A6152A"/>
    <w:rsid w:val="30A73033"/>
    <w:rsid w:val="30A9101A"/>
    <w:rsid w:val="30AA7F1D"/>
    <w:rsid w:val="30AE5029"/>
    <w:rsid w:val="30B005FB"/>
    <w:rsid w:val="30B04157"/>
    <w:rsid w:val="30B359F5"/>
    <w:rsid w:val="30B8125D"/>
    <w:rsid w:val="30C714A1"/>
    <w:rsid w:val="30D836AE"/>
    <w:rsid w:val="30D97831"/>
    <w:rsid w:val="30E107B4"/>
    <w:rsid w:val="30E738F1"/>
    <w:rsid w:val="30E87D95"/>
    <w:rsid w:val="30EB1633"/>
    <w:rsid w:val="30F1651D"/>
    <w:rsid w:val="30FF50DE"/>
    <w:rsid w:val="311A3CC6"/>
    <w:rsid w:val="311C359A"/>
    <w:rsid w:val="311E2ED7"/>
    <w:rsid w:val="311E4488"/>
    <w:rsid w:val="312132A7"/>
    <w:rsid w:val="31220F54"/>
    <w:rsid w:val="31264419"/>
    <w:rsid w:val="31342FDA"/>
    <w:rsid w:val="31344D88"/>
    <w:rsid w:val="3138414C"/>
    <w:rsid w:val="313A1C72"/>
    <w:rsid w:val="313A7EC4"/>
    <w:rsid w:val="313B4368"/>
    <w:rsid w:val="31436D79"/>
    <w:rsid w:val="31462D0D"/>
    <w:rsid w:val="31464ABB"/>
    <w:rsid w:val="314B3E80"/>
    <w:rsid w:val="314E571E"/>
    <w:rsid w:val="315619EE"/>
    <w:rsid w:val="315868AA"/>
    <w:rsid w:val="315A2315"/>
    <w:rsid w:val="315C449C"/>
    <w:rsid w:val="316338F1"/>
    <w:rsid w:val="3163566D"/>
    <w:rsid w:val="31644F41"/>
    <w:rsid w:val="316513E5"/>
    <w:rsid w:val="31666F0B"/>
    <w:rsid w:val="316F4012"/>
    <w:rsid w:val="317258B0"/>
    <w:rsid w:val="31794E91"/>
    <w:rsid w:val="317A4765"/>
    <w:rsid w:val="31807FCD"/>
    <w:rsid w:val="31833619"/>
    <w:rsid w:val="318A2BFA"/>
    <w:rsid w:val="3192385D"/>
    <w:rsid w:val="319770C5"/>
    <w:rsid w:val="319C292D"/>
    <w:rsid w:val="31A16195"/>
    <w:rsid w:val="31A35A6A"/>
    <w:rsid w:val="31A87524"/>
    <w:rsid w:val="31AA6DF8"/>
    <w:rsid w:val="31AB53D1"/>
    <w:rsid w:val="31AD6042"/>
    <w:rsid w:val="31B82709"/>
    <w:rsid w:val="31C0486E"/>
    <w:rsid w:val="31C06765"/>
    <w:rsid w:val="31CC4FC0"/>
    <w:rsid w:val="31CF3EBA"/>
    <w:rsid w:val="31CF4AB1"/>
    <w:rsid w:val="31CF685F"/>
    <w:rsid w:val="31D05482"/>
    <w:rsid w:val="31D16A7B"/>
    <w:rsid w:val="31D976DD"/>
    <w:rsid w:val="31DA5230"/>
    <w:rsid w:val="31E16592"/>
    <w:rsid w:val="31E85B72"/>
    <w:rsid w:val="31ED3189"/>
    <w:rsid w:val="31F61EC1"/>
    <w:rsid w:val="31F664E1"/>
    <w:rsid w:val="31F86DAA"/>
    <w:rsid w:val="31FB3AF8"/>
    <w:rsid w:val="31FE5396"/>
    <w:rsid w:val="321E1594"/>
    <w:rsid w:val="32236BAB"/>
    <w:rsid w:val="323E39E4"/>
    <w:rsid w:val="32400B34"/>
    <w:rsid w:val="3240775C"/>
    <w:rsid w:val="32454D73"/>
    <w:rsid w:val="32494863"/>
    <w:rsid w:val="32502792"/>
    <w:rsid w:val="325154C6"/>
    <w:rsid w:val="325B2D0D"/>
    <w:rsid w:val="32650F71"/>
    <w:rsid w:val="32672F3B"/>
    <w:rsid w:val="326C2300"/>
    <w:rsid w:val="3271734E"/>
    <w:rsid w:val="327B69E7"/>
    <w:rsid w:val="327D0E8F"/>
    <w:rsid w:val="32805DAB"/>
    <w:rsid w:val="328C0BF4"/>
    <w:rsid w:val="328E04C8"/>
    <w:rsid w:val="32957AA8"/>
    <w:rsid w:val="329758AB"/>
    <w:rsid w:val="329A50BF"/>
    <w:rsid w:val="329E6876"/>
    <w:rsid w:val="32A55811"/>
    <w:rsid w:val="32C1089D"/>
    <w:rsid w:val="32CC7242"/>
    <w:rsid w:val="32D0288E"/>
    <w:rsid w:val="32D3237F"/>
    <w:rsid w:val="32D61E6F"/>
    <w:rsid w:val="32D63C1D"/>
    <w:rsid w:val="32E97DF4"/>
    <w:rsid w:val="32EC3440"/>
    <w:rsid w:val="32F04CDF"/>
    <w:rsid w:val="32F347CF"/>
    <w:rsid w:val="32F67139"/>
    <w:rsid w:val="32FC18D5"/>
    <w:rsid w:val="33030EB6"/>
    <w:rsid w:val="33154745"/>
    <w:rsid w:val="331D7A9E"/>
    <w:rsid w:val="331F3816"/>
    <w:rsid w:val="332134CF"/>
    <w:rsid w:val="333015F2"/>
    <w:rsid w:val="333E1EEE"/>
    <w:rsid w:val="334212B2"/>
    <w:rsid w:val="33437504"/>
    <w:rsid w:val="334868C9"/>
    <w:rsid w:val="334B6320"/>
    <w:rsid w:val="334E7C57"/>
    <w:rsid w:val="3350577D"/>
    <w:rsid w:val="335E60EC"/>
    <w:rsid w:val="33751688"/>
    <w:rsid w:val="33753436"/>
    <w:rsid w:val="337E22EA"/>
    <w:rsid w:val="337F42B4"/>
    <w:rsid w:val="338027AA"/>
    <w:rsid w:val="338418CB"/>
    <w:rsid w:val="33843679"/>
    <w:rsid w:val="3385640A"/>
    <w:rsid w:val="339C4E66"/>
    <w:rsid w:val="33A1247D"/>
    <w:rsid w:val="33AF6948"/>
    <w:rsid w:val="33C30645"/>
    <w:rsid w:val="33C323F3"/>
    <w:rsid w:val="33CA3782"/>
    <w:rsid w:val="33CD5020"/>
    <w:rsid w:val="33D04B10"/>
    <w:rsid w:val="33D26ADA"/>
    <w:rsid w:val="33D934D4"/>
    <w:rsid w:val="33E04D53"/>
    <w:rsid w:val="33ED56C2"/>
    <w:rsid w:val="33F22CD8"/>
    <w:rsid w:val="33F26834"/>
    <w:rsid w:val="33F627C9"/>
    <w:rsid w:val="33F94067"/>
    <w:rsid w:val="33FE000C"/>
    <w:rsid w:val="33FE167D"/>
    <w:rsid w:val="33FE2F6A"/>
    <w:rsid w:val="340050D0"/>
    <w:rsid w:val="34052A0C"/>
    <w:rsid w:val="340C5B48"/>
    <w:rsid w:val="340E07E5"/>
    <w:rsid w:val="340F0A54"/>
    <w:rsid w:val="34235BF7"/>
    <w:rsid w:val="342401BA"/>
    <w:rsid w:val="3424709C"/>
    <w:rsid w:val="343461A1"/>
    <w:rsid w:val="343B467F"/>
    <w:rsid w:val="34420C73"/>
    <w:rsid w:val="344352E2"/>
    <w:rsid w:val="34496D9C"/>
    <w:rsid w:val="34525300"/>
    <w:rsid w:val="34565015"/>
    <w:rsid w:val="345A2F0A"/>
    <w:rsid w:val="34655258"/>
    <w:rsid w:val="346A6D13"/>
    <w:rsid w:val="34711E4F"/>
    <w:rsid w:val="347436ED"/>
    <w:rsid w:val="34757B91"/>
    <w:rsid w:val="347B4A7C"/>
    <w:rsid w:val="34822F3C"/>
    <w:rsid w:val="34853B4C"/>
    <w:rsid w:val="348845FB"/>
    <w:rsid w:val="348A2F11"/>
    <w:rsid w:val="348A4CBF"/>
    <w:rsid w:val="348C4EDB"/>
    <w:rsid w:val="348F0527"/>
    <w:rsid w:val="34963664"/>
    <w:rsid w:val="349B7E49"/>
    <w:rsid w:val="349C5A8D"/>
    <w:rsid w:val="34A246FE"/>
    <w:rsid w:val="34B41D3C"/>
    <w:rsid w:val="34B52957"/>
    <w:rsid w:val="34B61205"/>
    <w:rsid w:val="34B61F58"/>
    <w:rsid w:val="34C12DD7"/>
    <w:rsid w:val="34C22379"/>
    <w:rsid w:val="34C75F13"/>
    <w:rsid w:val="34D66156"/>
    <w:rsid w:val="34D92E79"/>
    <w:rsid w:val="34DD74E5"/>
    <w:rsid w:val="34E16FD5"/>
    <w:rsid w:val="34E6283D"/>
    <w:rsid w:val="34F5482E"/>
    <w:rsid w:val="34F62354"/>
    <w:rsid w:val="34FF38FF"/>
    <w:rsid w:val="350031D3"/>
    <w:rsid w:val="350B5E00"/>
    <w:rsid w:val="350C3926"/>
    <w:rsid w:val="3511718E"/>
    <w:rsid w:val="35270760"/>
    <w:rsid w:val="352F47B7"/>
    <w:rsid w:val="353335A8"/>
    <w:rsid w:val="35352E7D"/>
    <w:rsid w:val="353D7F83"/>
    <w:rsid w:val="35431A3E"/>
    <w:rsid w:val="354457B6"/>
    <w:rsid w:val="35447564"/>
    <w:rsid w:val="354632DC"/>
    <w:rsid w:val="354E4ED5"/>
    <w:rsid w:val="354F3EEC"/>
    <w:rsid w:val="35505F08"/>
    <w:rsid w:val="3558300F"/>
    <w:rsid w:val="355D23D3"/>
    <w:rsid w:val="355F41C7"/>
    <w:rsid w:val="35690D78"/>
    <w:rsid w:val="356E2833"/>
    <w:rsid w:val="3575771D"/>
    <w:rsid w:val="357659B1"/>
    <w:rsid w:val="35773495"/>
    <w:rsid w:val="35780FBB"/>
    <w:rsid w:val="357D4824"/>
    <w:rsid w:val="357E2A76"/>
    <w:rsid w:val="35814314"/>
    <w:rsid w:val="35831E3A"/>
    <w:rsid w:val="35887450"/>
    <w:rsid w:val="358B0CEF"/>
    <w:rsid w:val="358C5FA8"/>
    <w:rsid w:val="35904557"/>
    <w:rsid w:val="3599165E"/>
    <w:rsid w:val="359978AF"/>
    <w:rsid w:val="359C2CD9"/>
    <w:rsid w:val="359D0C08"/>
    <w:rsid w:val="35A277BE"/>
    <w:rsid w:val="35A95619"/>
    <w:rsid w:val="35A973C7"/>
    <w:rsid w:val="35AB313F"/>
    <w:rsid w:val="35AC6E5A"/>
    <w:rsid w:val="35B9585C"/>
    <w:rsid w:val="35C15DF1"/>
    <w:rsid w:val="35C661CB"/>
    <w:rsid w:val="35C83CF1"/>
    <w:rsid w:val="35C97A69"/>
    <w:rsid w:val="35D02BA5"/>
    <w:rsid w:val="35D24B6F"/>
    <w:rsid w:val="35D35979"/>
    <w:rsid w:val="35E87EEF"/>
    <w:rsid w:val="35EA1EB9"/>
    <w:rsid w:val="35EA5C2C"/>
    <w:rsid w:val="35ED3757"/>
    <w:rsid w:val="35F40F8A"/>
    <w:rsid w:val="35F72828"/>
    <w:rsid w:val="35FA5E74"/>
    <w:rsid w:val="35FC7E3E"/>
    <w:rsid w:val="35FD5F82"/>
    <w:rsid w:val="36074A7F"/>
    <w:rsid w:val="362C0724"/>
    <w:rsid w:val="362F1FC2"/>
    <w:rsid w:val="362F3D70"/>
    <w:rsid w:val="36370E76"/>
    <w:rsid w:val="3643781B"/>
    <w:rsid w:val="36484E32"/>
    <w:rsid w:val="364C4922"/>
    <w:rsid w:val="36525CB0"/>
    <w:rsid w:val="365657A0"/>
    <w:rsid w:val="3656754F"/>
    <w:rsid w:val="36590DED"/>
    <w:rsid w:val="366B5784"/>
    <w:rsid w:val="366F23BE"/>
    <w:rsid w:val="36721EAF"/>
    <w:rsid w:val="367B0D63"/>
    <w:rsid w:val="3684230E"/>
    <w:rsid w:val="368A544A"/>
    <w:rsid w:val="368E2D4F"/>
    <w:rsid w:val="36923549"/>
    <w:rsid w:val="36940077"/>
    <w:rsid w:val="36981915"/>
    <w:rsid w:val="369B7657"/>
    <w:rsid w:val="369D163F"/>
    <w:rsid w:val="36A209E6"/>
    <w:rsid w:val="36A73BF2"/>
    <w:rsid w:val="36AC53C0"/>
    <w:rsid w:val="36AE738B"/>
    <w:rsid w:val="36AF4EB1"/>
    <w:rsid w:val="36B67FED"/>
    <w:rsid w:val="36B75FBF"/>
    <w:rsid w:val="36BB3856"/>
    <w:rsid w:val="36BD0C45"/>
    <w:rsid w:val="36BE445D"/>
    <w:rsid w:val="36C26B9E"/>
    <w:rsid w:val="36C34BA4"/>
    <w:rsid w:val="36C80A6B"/>
    <w:rsid w:val="36C97D20"/>
    <w:rsid w:val="36D05553"/>
    <w:rsid w:val="36DC54DD"/>
    <w:rsid w:val="36E0150E"/>
    <w:rsid w:val="36E032BC"/>
    <w:rsid w:val="36E25286"/>
    <w:rsid w:val="36EA7C97"/>
    <w:rsid w:val="36F948DF"/>
    <w:rsid w:val="36FD79CA"/>
    <w:rsid w:val="370151B1"/>
    <w:rsid w:val="370B41DA"/>
    <w:rsid w:val="37113475"/>
    <w:rsid w:val="37133692"/>
    <w:rsid w:val="371F5B92"/>
    <w:rsid w:val="3720190B"/>
    <w:rsid w:val="37296A11"/>
    <w:rsid w:val="372E2279"/>
    <w:rsid w:val="373D426B"/>
    <w:rsid w:val="37427AD3"/>
    <w:rsid w:val="37447D7B"/>
    <w:rsid w:val="3748158D"/>
    <w:rsid w:val="37492C0F"/>
    <w:rsid w:val="37604F1C"/>
    <w:rsid w:val="376E2676"/>
    <w:rsid w:val="37702892"/>
    <w:rsid w:val="377E4FAF"/>
    <w:rsid w:val="37865C12"/>
    <w:rsid w:val="378679C0"/>
    <w:rsid w:val="378B3228"/>
    <w:rsid w:val="378D51F2"/>
    <w:rsid w:val="378D6FA0"/>
    <w:rsid w:val="378E4AC6"/>
    <w:rsid w:val="3790083E"/>
    <w:rsid w:val="37923A64"/>
    <w:rsid w:val="379F6CD3"/>
    <w:rsid w:val="37A20571"/>
    <w:rsid w:val="37A82172"/>
    <w:rsid w:val="37B07132"/>
    <w:rsid w:val="37B3277F"/>
    <w:rsid w:val="37B3452D"/>
    <w:rsid w:val="37B44180"/>
    <w:rsid w:val="37B87D95"/>
    <w:rsid w:val="37BE184F"/>
    <w:rsid w:val="37C4673A"/>
    <w:rsid w:val="37D526F5"/>
    <w:rsid w:val="37DC1CD5"/>
    <w:rsid w:val="37DF3574"/>
    <w:rsid w:val="37E00298"/>
    <w:rsid w:val="37E748A2"/>
    <w:rsid w:val="37ED7A3F"/>
    <w:rsid w:val="37F214F9"/>
    <w:rsid w:val="37F45271"/>
    <w:rsid w:val="37F92887"/>
    <w:rsid w:val="38060B00"/>
    <w:rsid w:val="380B6117"/>
    <w:rsid w:val="380F3E59"/>
    <w:rsid w:val="3814146F"/>
    <w:rsid w:val="38144FF1"/>
    <w:rsid w:val="3816292F"/>
    <w:rsid w:val="38237904"/>
    <w:rsid w:val="3826425F"/>
    <w:rsid w:val="38284F1B"/>
    <w:rsid w:val="383C2774"/>
    <w:rsid w:val="384A30E3"/>
    <w:rsid w:val="384A4E91"/>
    <w:rsid w:val="384A6C3F"/>
    <w:rsid w:val="38613F89"/>
    <w:rsid w:val="386808FA"/>
    <w:rsid w:val="386C12AB"/>
    <w:rsid w:val="3872263A"/>
    <w:rsid w:val="387463B2"/>
    <w:rsid w:val="38763ED8"/>
    <w:rsid w:val="38787C50"/>
    <w:rsid w:val="38797524"/>
    <w:rsid w:val="387C7014"/>
    <w:rsid w:val="387D5266"/>
    <w:rsid w:val="387F1A8B"/>
    <w:rsid w:val="38855EC9"/>
    <w:rsid w:val="389205E6"/>
    <w:rsid w:val="38A547BD"/>
    <w:rsid w:val="38A762B5"/>
    <w:rsid w:val="38AF194E"/>
    <w:rsid w:val="38B302F9"/>
    <w:rsid w:val="38B90269"/>
    <w:rsid w:val="38B95B73"/>
    <w:rsid w:val="38C855EC"/>
    <w:rsid w:val="38C904AC"/>
    <w:rsid w:val="38CB377E"/>
    <w:rsid w:val="38D66725"/>
    <w:rsid w:val="38E2156D"/>
    <w:rsid w:val="38E946AA"/>
    <w:rsid w:val="38F12CD3"/>
    <w:rsid w:val="38F94775"/>
    <w:rsid w:val="38FB43DD"/>
    <w:rsid w:val="38FD0BB7"/>
    <w:rsid w:val="38FF3ECD"/>
    <w:rsid w:val="39094D4C"/>
    <w:rsid w:val="390F7E89"/>
    <w:rsid w:val="391536F1"/>
    <w:rsid w:val="39175FEC"/>
    <w:rsid w:val="39202096"/>
    <w:rsid w:val="39214DFC"/>
    <w:rsid w:val="39225E0E"/>
    <w:rsid w:val="39241B86"/>
    <w:rsid w:val="39273424"/>
    <w:rsid w:val="39290397"/>
    <w:rsid w:val="392971ED"/>
    <w:rsid w:val="392A6A70"/>
    <w:rsid w:val="39325651"/>
    <w:rsid w:val="39355B41"/>
    <w:rsid w:val="393618B9"/>
    <w:rsid w:val="393C6ED0"/>
    <w:rsid w:val="394144E6"/>
    <w:rsid w:val="394E09B1"/>
    <w:rsid w:val="39535FC7"/>
    <w:rsid w:val="395B30CE"/>
    <w:rsid w:val="39745BCE"/>
    <w:rsid w:val="3976413E"/>
    <w:rsid w:val="397D1296"/>
    <w:rsid w:val="397F1F53"/>
    <w:rsid w:val="398E0DAD"/>
    <w:rsid w:val="39904B26"/>
    <w:rsid w:val="39925989"/>
    <w:rsid w:val="399C796E"/>
    <w:rsid w:val="39A131D7"/>
    <w:rsid w:val="39A20CFD"/>
    <w:rsid w:val="39A22AAB"/>
    <w:rsid w:val="39A405D1"/>
    <w:rsid w:val="39A64349"/>
    <w:rsid w:val="39AE5190"/>
    <w:rsid w:val="39B822CE"/>
    <w:rsid w:val="39C24EFB"/>
    <w:rsid w:val="39C3314D"/>
    <w:rsid w:val="39C742BF"/>
    <w:rsid w:val="39C90037"/>
    <w:rsid w:val="39D013C6"/>
    <w:rsid w:val="39D47424"/>
    <w:rsid w:val="39D96C03"/>
    <w:rsid w:val="39E11825"/>
    <w:rsid w:val="39E303EB"/>
    <w:rsid w:val="39F2758E"/>
    <w:rsid w:val="39F33306"/>
    <w:rsid w:val="39FD5F33"/>
    <w:rsid w:val="3A013C75"/>
    <w:rsid w:val="3A10210A"/>
    <w:rsid w:val="3A176FF5"/>
    <w:rsid w:val="3A192D6D"/>
    <w:rsid w:val="3A1A6AE5"/>
    <w:rsid w:val="3A1C71C2"/>
    <w:rsid w:val="3A1E0383"/>
    <w:rsid w:val="3A1F310B"/>
    <w:rsid w:val="3A26548A"/>
    <w:rsid w:val="3A2A4F7A"/>
    <w:rsid w:val="3A2E433E"/>
    <w:rsid w:val="3A3000B7"/>
    <w:rsid w:val="3A372822"/>
    <w:rsid w:val="3A445910"/>
    <w:rsid w:val="3A461EF5"/>
    <w:rsid w:val="3A4D0C68"/>
    <w:rsid w:val="3A563FC1"/>
    <w:rsid w:val="3A59760D"/>
    <w:rsid w:val="3A5E4C24"/>
    <w:rsid w:val="3A655FB2"/>
    <w:rsid w:val="3A6A7100"/>
    <w:rsid w:val="3A6A7A6C"/>
    <w:rsid w:val="3A7E3875"/>
    <w:rsid w:val="3A80103E"/>
    <w:rsid w:val="3A872856"/>
    <w:rsid w:val="3A8A5A19"/>
    <w:rsid w:val="3A8B1791"/>
    <w:rsid w:val="3A970136"/>
    <w:rsid w:val="3AAD1707"/>
    <w:rsid w:val="3AB02FA5"/>
    <w:rsid w:val="3AB900AC"/>
    <w:rsid w:val="3AD66EB0"/>
    <w:rsid w:val="3AE74C19"/>
    <w:rsid w:val="3AEE41FA"/>
    <w:rsid w:val="3AF70BD4"/>
    <w:rsid w:val="3AFB2473"/>
    <w:rsid w:val="3AFB6916"/>
    <w:rsid w:val="3B082DE1"/>
    <w:rsid w:val="3B191D2F"/>
    <w:rsid w:val="3B1B48C3"/>
    <w:rsid w:val="3B245E6D"/>
    <w:rsid w:val="3B251BE5"/>
    <w:rsid w:val="3B343BD6"/>
    <w:rsid w:val="3B3763D1"/>
    <w:rsid w:val="3B4402BD"/>
    <w:rsid w:val="3B457B92"/>
    <w:rsid w:val="3B4C0F20"/>
    <w:rsid w:val="3B4E6A46"/>
    <w:rsid w:val="3B53405D"/>
    <w:rsid w:val="3B5878C5"/>
    <w:rsid w:val="3B691AD2"/>
    <w:rsid w:val="3B6B584A"/>
    <w:rsid w:val="3B702E61"/>
    <w:rsid w:val="3B712735"/>
    <w:rsid w:val="3B81506E"/>
    <w:rsid w:val="3B822B94"/>
    <w:rsid w:val="3B8763FC"/>
    <w:rsid w:val="3B9C6F72"/>
    <w:rsid w:val="3BA26D92"/>
    <w:rsid w:val="3BA50630"/>
    <w:rsid w:val="3BAB20EB"/>
    <w:rsid w:val="3BAC7C11"/>
    <w:rsid w:val="3BB15227"/>
    <w:rsid w:val="3BB32D4D"/>
    <w:rsid w:val="3BBD3BCC"/>
    <w:rsid w:val="3BD864DE"/>
    <w:rsid w:val="3BDC6748"/>
    <w:rsid w:val="3BDF1D94"/>
    <w:rsid w:val="3BE63123"/>
    <w:rsid w:val="3BE92C13"/>
    <w:rsid w:val="3BF03FA1"/>
    <w:rsid w:val="3BF21AC7"/>
    <w:rsid w:val="3BFA4E20"/>
    <w:rsid w:val="3BFA6BCE"/>
    <w:rsid w:val="3C027045"/>
    <w:rsid w:val="3C096E11"/>
    <w:rsid w:val="3C0D6901"/>
    <w:rsid w:val="3C131E37"/>
    <w:rsid w:val="3C1A7270"/>
    <w:rsid w:val="3C1F03E3"/>
    <w:rsid w:val="3C233025"/>
    <w:rsid w:val="3C265C15"/>
    <w:rsid w:val="3C2D2B00"/>
    <w:rsid w:val="3C2D5E53"/>
    <w:rsid w:val="3C2F6E1E"/>
    <w:rsid w:val="3C37397E"/>
    <w:rsid w:val="3C3A0A68"/>
    <w:rsid w:val="3C4F64BA"/>
    <w:rsid w:val="3C552056"/>
    <w:rsid w:val="3C683B38"/>
    <w:rsid w:val="3C6A5B02"/>
    <w:rsid w:val="3C6B3628"/>
    <w:rsid w:val="3C6D73A0"/>
    <w:rsid w:val="3C741756"/>
    <w:rsid w:val="3C77021F"/>
    <w:rsid w:val="3C7B7D0F"/>
    <w:rsid w:val="3C7C3A87"/>
    <w:rsid w:val="3C8618CD"/>
    <w:rsid w:val="3C8666B4"/>
    <w:rsid w:val="3C94492D"/>
    <w:rsid w:val="3C975423"/>
    <w:rsid w:val="3CA2460E"/>
    <w:rsid w:val="3CA562E6"/>
    <w:rsid w:val="3CA60B04"/>
    <w:rsid w:val="3CAF5C0A"/>
    <w:rsid w:val="3CB13731"/>
    <w:rsid w:val="3CB44FCF"/>
    <w:rsid w:val="3CB533E3"/>
    <w:rsid w:val="3CB90837"/>
    <w:rsid w:val="3CC82828"/>
    <w:rsid w:val="3CCC056A"/>
    <w:rsid w:val="3CCD215A"/>
    <w:rsid w:val="3CD016DD"/>
    <w:rsid w:val="3CD8438E"/>
    <w:rsid w:val="3CDA245A"/>
    <w:rsid w:val="3CDB255C"/>
    <w:rsid w:val="3CDB69FF"/>
    <w:rsid w:val="3CDC62D4"/>
    <w:rsid w:val="3CE138EA"/>
    <w:rsid w:val="3CE21B3C"/>
    <w:rsid w:val="3CE27D8E"/>
    <w:rsid w:val="3CED04E1"/>
    <w:rsid w:val="3CF278A5"/>
    <w:rsid w:val="3D0870C9"/>
    <w:rsid w:val="3D1D2B74"/>
    <w:rsid w:val="3D1E06B7"/>
    <w:rsid w:val="3D1E68EC"/>
    <w:rsid w:val="3D204412"/>
    <w:rsid w:val="3D255ECD"/>
    <w:rsid w:val="3D2D6B2F"/>
    <w:rsid w:val="3D2E2FD3"/>
    <w:rsid w:val="3D346110"/>
    <w:rsid w:val="3D422171"/>
    <w:rsid w:val="3D4225DB"/>
    <w:rsid w:val="3D45031D"/>
    <w:rsid w:val="3D475E43"/>
    <w:rsid w:val="3D477BF1"/>
    <w:rsid w:val="3D491BBB"/>
    <w:rsid w:val="3D4A76E1"/>
    <w:rsid w:val="3D4D6987"/>
    <w:rsid w:val="3D536596"/>
    <w:rsid w:val="3D54230E"/>
    <w:rsid w:val="3D581DFE"/>
    <w:rsid w:val="3D5C38AB"/>
    <w:rsid w:val="3D5E1375"/>
    <w:rsid w:val="3D670293"/>
    <w:rsid w:val="3D6D517E"/>
    <w:rsid w:val="3D6F7148"/>
    <w:rsid w:val="3D7824A0"/>
    <w:rsid w:val="3D7D3613"/>
    <w:rsid w:val="3D89020A"/>
    <w:rsid w:val="3D913562"/>
    <w:rsid w:val="3D9D3CB5"/>
    <w:rsid w:val="3DA4074B"/>
    <w:rsid w:val="3DAB4624"/>
    <w:rsid w:val="3DB01C3A"/>
    <w:rsid w:val="3DB8289D"/>
    <w:rsid w:val="3DBE3AF9"/>
    <w:rsid w:val="3DCB0822"/>
    <w:rsid w:val="3DCC00F6"/>
    <w:rsid w:val="3DDD67A7"/>
    <w:rsid w:val="3DE11DF4"/>
    <w:rsid w:val="3DE90CA8"/>
    <w:rsid w:val="3DEB4A20"/>
    <w:rsid w:val="3DF02037"/>
    <w:rsid w:val="3DF633C5"/>
    <w:rsid w:val="3DFC57BB"/>
    <w:rsid w:val="3DFD4754"/>
    <w:rsid w:val="3E09134A"/>
    <w:rsid w:val="3E0930F8"/>
    <w:rsid w:val="3E0B50C2"/>
    <w:rsid w:val="3E0E070F"/>
    <w:rsid w:val="3E10092B"/>
    <w:rsid w:val="3E157CEF"/>
    <w:rsid w:val="3E1C2E2C"/>
    <w:rsid w:val="3E241CE0"/>
    <w:rsid w:val="3E2E7003"/>
    <w:rsid w:val="3E3363C7"/>
    <w:rsid w:val="3E35213F"/>
    <w:rsid w:val="3E3E7246"/>
    <w:rsid w:val="3E3F72C8"/>
    <w:rsid w:val="3E43485C"/>
    <w:rsid w:val="3E444641"/>
    <w:rsid w:val="3E4800C5"/>
    <w:rsid w:val="3E4F10C4"/>
    <w:rsid w:val="3E506F79"/>
    <w:rsid w:val="3E5500EC"/>
    <w:rsid w:val="3E573E64"/>
    <w:rsid w:val="3E5A7DF8"/>
    <w:rsid w:val="3E5B1404"/>
    <w:rsid w:val="3E5C591E"/>
    <w:rsid w:val="3E611186"/>
    <w:rsid w:val="3E642A25"/>
    <w:rsid w:val="3E650498"/>
    <w:rsid w:val="3E6C7A46"/>
    <w:rsid w:val="3E6D7B2B"/>
    <w:rsid w:val="3E720C9E"/>
    <w:rsid w:val="3E740D27"/>
    <w:rsid w:val="3E742C68"/>
    <w:rsid w:val="3E7E5894"/>
    <w:rsid w:val="3E7E7642"/>
    <w:rsid w:val="3E860BED"/>
    <w:rsid w:val="3E894239"/>
    <w:rsid w:val="3E895FE7"/>
    <w:rsid w:val="3E8D1F7B"/>
    <w:rsid w:val="3E9055C8"/>
    <w:rsid w:val="3E97162A"/>
    <w:rsid w:val="3EA03A5D"/>
    <w:rsid w:val="3EA3067E"/>
    <w:rsid w:val="3EA66B99"/>
    <w:rsid w:val="3EA82911"/>
    <w:rsid w:val="3EBC016B"/>
    <w:rsid w:val="3EC60FE9"/>
    <w:rsid w:val="3ECD2378"/>
    <w:rsid w:val="3ED45422"/>
    <w:rsid w:val="3EDA0523"/>
    <w:rsid w:val="3EDC25BB"/>
    <w:rsid w:val="3EDF3E59"/>
    <w:rsid w:val="3EE14075"/>
    <w:rsid w:val="3EE15E23"/>
    <w:rsid w:val="3EE6343A"/>
    <w:rsid w:val="3EE651E8"/>
    <w:rsid w:val="3EF43DA9"/>
    <w:rsid w:val="3EFF797D"/>
    <w:rsid w:val="3F1E0E25"/>
    <w:rsid w:val="3F281CA4"/>
    <w:rsid w:val="3F375A43"/>
    <w:rsid w:val="3F3E5024"/>
    <w:rsid w:val="3F400D9C"/>
    <w:rsid w:val="3F4563B2"/>
    <w:rsid w:val="3F473ED8"/>
    <w:rsid w:val="3F573360"/>
    <w:rsid w:val="3F5860E5"/>
    <w:rsid w:val="3F5B7984"/>
    <w:rsid w:val="3F5E7474"/>
    <w:rsid w:val="3F63656D"/>
    <w:rsid w:val="3F6A5E19"/>
    <w:rsid w:val="3F6F342F"/>
    <w:rsid w:val="3F786788"/>
    <w:rsid w:val="3F7B1DD4"/>
    <w:rsid w:val="3F896FF6"/>
    <w:rsid w:val="3F9115F7"/>
    <w:rsid w:val="3F964E60"/>
    <w:rsid w:val="3F9C2EFE"/>
    <w:rsid w:val="3FA43C9B"/>
    <w:rsid w:val="3FA70E1B"/>
    <w:rsid w:val="3FA7706D"/>
    <w:rsid w:val="3FB35A12"/>
    <w:rsid w:val="3FB377C0"/>
    <w:rsid w:val="3FB672B0"/>
    <w:rsid w:val="3FC96FE3"/>
    <w:rsid w:val="3FCC0881"/>
    <w:rsid w:val="3FE91433"/>
    <w:rsid w:val="3FEA2C6C"/>
    <w:rsid w:val="3FF102E8"/>
    <w:rsid w:val="3FF37BBC"/>
    <w:rsid w:val="3FF676AC"/>
    <w:rsid w:val="3FF81676"/>
    <w:rsid w:val="3FFB4CC3"/>
    <w:rsid w:val="40010EF3"/>
    <w:rsid w:val="4005737C"/>
    <w:rsid w:val="40155D85"/>
    <w:rsid w:val="40201916"/>
    <w:rsid w:val="402204A1"/>
    <w:rsid w:val="402406BD"/>
    <w:rsid w:val="40256879"/>
    <w:rsid w:val="40344C17"/>
    <w:rsid w:val="40356427"/>
    <w:rsid w:val="40387CC5"/>
    <w:rsid w:val="40490124"/>
    <w:rsid w:val="404B79F8"/>
    <w:rsid w:val="40550877"/>
    <w:rsid w:val="40555BB9"/>
    <w:rsid w:val="40556AC9"/>
    <w:rsid w:val="40576CD1"/>
    <w:rsid w:val="405A5E8D"/>
    <w:rsid w:val="405C1C05"/>
    <w:rsid w:val="40664832"/>
    <w:rsid w:val="40721429"/>
    <w:rsid w:val="40732E8B"/>
    <w:rsid w:val="40774C91"/>
    <w:rsid w:val="407927B7"/>
    <w:rsid w:val="407A6407"/>
    <w:rsid w:val="409273D5"/>
    <w:rsid w:val="40972C3D"/>
    <w:rsid w:val="409C0254"/>
    <w:rsid w:val="40A77CE0"/>
    <w:rsid w:val="40BA60AC"/>
    <w:rsid w:val="40C652D1"/>
    <w:rsid w:val="40CF23D7"/>
    <w:rsid w:val="40D76318"/>
    <w:rsid w:val="40DB5220"/>
    <w:rsid w:val="40E12328"/>
    <w:rsid w:val="40EB4D37"/>
    <w:rsid w:val="40F41E3E"/>
    <w:rsid w:val="40F77B80"/>
    <w:rsid w:val="40FE2CBD"/>
    <w:rsid w:val="41072DEF"/>
    <w:rsid w:val="411918A4"/>
    <w:rsid w:val="412C31AD"/>
    <w:rsid w:val="413E57AF"/>
    <w:rsid w:val="41401527"/>
    <w:rsid w:val="41405083"/>
    <w:rsid w:val="41432DC5"/>
    <w:rsid w:val="41504D61"/>
    <w:rsid w:val="41594397"/>
    <w:rsid w:val="415E5D3D"/>
    <w:rsid w:val="416074D3"/>
    <w:rsid w:val="4162324B"/>
    <w:rsid w:val="41654AEA"/>
    <w:rsid w:val="41742F7F"/>
    <w:rsid w:val="417C1E33"/>
    <w:rsid w:val="417E7959"/>
    <w:rsid w:val="41831414"/>
    <w:rsid w:val="418F1B67"/>
    <w:rsid w:val="41962EF5"/>
    <w:rsid w:val="419B050B"/>
    <w:rsid w:val="41A75102"/>
    <w:rsid w:val="41A82C28"/>
    <w:rsid w:val="41A90E7A"/>
    <w:rsid w:val="41AA4BF2"/>
    <w:rsid w:val="41AA69A0"/>
    <w:rsid w:val="41AD22DE"/>
    <w:rsid w:val="41B15F81"/>
    <w:rsid w:val="41B17D2F"/>
    <w:rsid w:val="41B82E6B"/>
    <w:rsid w:val="41C00631"/>
    <w:rsid w:val="41C37A62"/>
    <w:rsid w:val="41C55588"/>
    <w:rsid w:val="41D57EC1"/>
    <w:rsid w:val="41DB2FFE"/>
    <w:rsid w:val="41E55C2A"/>
    <w:rsid w:val="41EC0D67"/>
    <w:rsid w:val="41F540C0"/>
    <w:rsid w:val="4200449D"/>
    <w:rsid w:val="42097B6B"/>
    <w:rsid w:val="420A743F"/>
    <w:rsid w:val="421A1D78"/>
    <w:rsid w:val="422229DB"/>
    <w:rsid w:val="422E137F"/>
    <w:rsid w:val="422E5823"/>
    <w:rsid w:val="422E75D1"/>
    <w:rsid w:val="42353CCD"/>
    <w:rsid w:val="423544BC"/>
    <w:rsid w:val="423821FE"/>
    <w:rsid w:val="423A3BCC"/>
    <w:rsid w:val="42446DF5"/>
    <w:rsid w:val="42462B6D"/>
    <w:rsid w:val="4246491B"/>
    <w:rsid w:val="42470693"/>
    <w:rsid w:val="424C7A58"/>
    <w:rsid w:val="424E37D0"/>
    <w:rsid w:val="424E57D2"/>
    <w:rsid w:val="4250579A"/>
    <w:rsid w:val="42512B6F"/>
    <w:rsid w:val="425608D6"/>
    <w:rsid w:val="425F59DD"/>
    <w:rsid w:val="426052B1"/>
    <w:rsid w:val="42641245"/>
    <w:rsid w:val="42666D6B"/>
    <w:rsid w:val="426923B8"/>
    <w:rsid w:val="426B4382"/>
    <w:rsid w:val="426E51EF"/>
    <w:rsid w:val="427174BE"/>
    <w:rsid w:val="428359FE"/>
    <w:rsid w:val="4286740D"/>
    <w:rsid w:val="42894808"/>
    <w:rsid w:val="4290203A"/>
    <w:rsid w:val="42980E10"/>
    <w:rsid w:val="429F402B"/>
    <w:rsid w:val="42A31D6D"/>
    <w:rsid w:val="42AE426E"/>
    <w:rsid w:val="42B26C49"/>
    <w:rsid w:val="42B86E9B"/>
    <w:rsid w:val="42BC2E2F"/>
    <w:rsid w:val="42C27D1A"/>
    <w:rsid w:val="42C35F6C"/>
    <w:rsid w:val="42CD1C24"/>
    <w:rsid w:val="42CE4911"/>
    <w:rsid w:val="42D17F20"/>
    <w:rsid w:val="42DE2553"/>
    <w:rsid w:val="42E14644"/>
    <w:rsid w:val="42E163F2"/>
    <w:rsid w:val="42EE0B0F"/>
    <w:rsid w:val="42EF6D61"/>
    <w:rsid w:val="42F247CE"/>
    <w:rsid w:val="43056584"/>
    <w:rsid w:val="430D5B5D"/>
    <w:rsid w:val="43192030"/>
    <w:rsid w:val="431A4C93"/>
    <w:rsid w:val="43234C5C"/>
    <w:rsid w:val="432A7D99"/>
    <w:rsid w:val="432B58BF"/>
    <w:rsid w:val="43317379"/>
    <w:rsid w:val="43326C4D"/>
    <w:rsid w:val="433504EC"/>
    <w:rsid w:val="433A6FE6"/>
    <w:rsid w:val="433B01F8"/>
    <w:rsid w:val="43413334"/>
    <w:rsid w:val="43456981"/>
    <w:rsid w:val="43480868"/>
    <w:rsid w:val="434B7D0F"/>
    <w:rsid w:val="434D7F2B"/>
    <w:rsid w:val="4350713C"/>
    <w:rsid w:val="43525542"/>
    <w:rsid w:val="435C016E"/>
    <w:rsid w:val="436314FD"/>
    <w:rsid w:val="436653E0"/>
    <w:rsid w:val="437159C8"/>
    <w:rsid w:val="437C2D76"/>
    <w:rsid w:val="437E6337"/>
    <w:rsid w:val="43814017"/>
    <w:rsid w:val="438C45B0"/>
    <w:rsid w:val="438F661B"/>
    <w:rsid w:val="43A0005B"/>
    <w:rsid w:val="43A51B15"/>
    <w:rsid w:val="43A55671"/>
    <w:rsid w:val="43AE09CA"/>
    <w:rsid w:val="43AF029E"/>
    <w:rsid w:val="43BB4E95"/>
    <w:rsid w:val="43C4431A"/>
    <w:rsid w:val="43CA332A"/>
    <w:rsid w:val="43D16466"/>
    <w:rsid w:val="43D23F8D"/>
    <w:rsid w:val="43D45F57"/>
    <w:rsid w:val="43D9356D"/>
    <w:rsid w:val="43DB1093"/>
    <w:rsid w:val="43E3619A"/>
    <w:rsid w:val="43E51F12"/>
    <w:rsid w:val="43F179E1"/>
    <w:rsid w:val="43F3462F"/>
    <w:rsid w:val="43F73405"/>
    <w:rsid w:val="43FA3C0F"/>
    <w:rsid w:val="440A1978"/>
    <w:rsid w:val="44184095"/>
    <w:rsid w:val="44185E43"/>
    <w:rsid w:val="442239C1"/>
    <w:rsid w:val="44246EDE"/>
    <w:rsid w:val="442C7B41"/>
    <w:rsid w:val="44307631"/>
    <w:rsid w:val="443133A9"/>
    <w:rsid w:val="44330ECF"/>
    <w:rsid w:val="443A04B0"/>
    <w:rsid w:val="443A16C8"/>
    <w:rsid w:val="443F7874"/>
    <w:rsid w:val="44421112"/>
    <w:rsid w:val="44446C38"/>
    <w:rsid w:val="44472EDA"/>
    <w:rsid w:val="4447309F"/>
    <w:rsid w:val="444C1F91"/>
    <w:rsid w:val="444E7AB7"/>
    <w:rsid w:val="44515D2B"/>
    <w:rsid w:val="445D7CFA"/>
    <w:rsid w:val="44613C8E"/>
    <w:rsid w:val="44615A3C"/>
    <w:rsid w:val="44623562"/>
    <w:rsid w:val="4467501D"/>
    <w:rsid w:val="446A2417"/>
    <w:rsid w:val="446E63AB"/>
    <w:rsid w:val="44727C49"/>
    <w:rsid w:val="447B4624"/>
    <w:rsid w:val="447D039C"/>
    <w:rsid w:val="447D65EE"/>
    <w:rsid w:val="4484172B"/>
    <w:rsid w:val="4486788D"/>
    <w:rsid w:val="44886565"/>
    <w:rsid w:val="448B4867"/>
    <w:rsid w:val="44950B75"/>
    <w:rsid w:val="449C4CC6"/>
    <w:rsid w:val="449C6A74"/>
    <w:rsid w:val="44A45929"/>
    <w:rsid w:val="44A818BD"/>
    <w:rsid w:val="44B00772"/>
    <w:rsid w:val="44B41810"/>
    <w:rsid w:val="44B71B00"/>
    <w:rsid w:val="44B813D4"/>
    <w:rsid w:val="44B951CC"/>
    <w:rsid w:val="44BE2E8F"/>
    <w:rsid w:val="44BE6633"/>
    <w:rsid w:val="44BF6C07"/>
    <w:rsid w:val="44CC6C2E"/>
    <w:rsid w:val="44CD14E0"/>
    <w:rsid w:val="44D01572"/>
    <w:rsid w:val="44D2693A"/>
    <w:rsid w:val="44D83825"/>
    <w:rsid w:val="44DE708D"/>
    <w:rsid w:val="44DF1057"/>
    <w:rsid w:val="44E26451"/>
    <w:rsid w:val="44E93C84"/>
    <w:rsid w:val="44E95A32"/>
    <w:rsid w:val="44EB3558"/>
    <w:rsid w:val="44F20B0B"/>
    <w:rsid w:val="44F22B38"/>
    <w:rsid w:val="44F7014F"/>
    <w:rsid w:val="44F763A1"/>
    <w:rsid w:val="44F85C75"/>
    <w:rsid w:val="44FD328B"/>
    <w:rsid w:val="45060392"/>
    <w:rsid w:val="450B59A8"/>
    <w:rsid w:val="450D1720"/>
    <w:rsid w:val="451231DA"/>
    <w:rsid w:val="4517259F"/>
    <w:rsid w:val="451B7543"/>
    <w:rsid w:val="451C101E"/>
    <w:rsid w:val="45240818"/>
    <w:rsid w:val="45290F50"/>
    <w:rsid w:val="452D1715"/>
    <w:rsid w:val="452E5F4C"/>
    <w:rsid w:val="45303661"/>
    <w:rsid w:val="45344EFF"/>
    <w:rsid w:val="45372C41"/>
    <w:rsid w:val="4537679D"/>
    <w:rsid w:val="453A003B"/>
    <w:rsid w:val="45401AF6"/>
    <w:rsid w:val="454205A8"/>
    <w:rsid w:val="454E3DAE"/>
    <w:rsid w:val="455A248C"/>
    <w:rsid w:val="45612018"/>
    <w:rsid w:val="45660E30"/>
    <w:rsid w:val="45682D36"/>
    <w:rsid w:val="45717F01"/>
    <w:rsid w:val="457277D5"/>
    <w:rsid w:val="458946E9"/>
    <w:rsid w:val="459B6D2C"/>
    <w:rsid w:val="45A1630C"/>
    <w:rsid w:val="45A47C0E"/>
    <w:rsid w:val="45A7579D"/>
    <w:rsid w:val="45AA3413"/>
    <w:rsid w:val="45AF3AE3"/>
    <w:rsid w:val="45B1127B"/>
    <w:rsid w:val="45CC15DB"/>
    <w:rsid w:val="45CD4BA0"/>
    <w:rsid w:val="45CF4C28"/>
    <w:rsid w:val="45D109A0"/>
    <w:rsid w:val="45D64208"/>
    <w:rsid w:val="45D97854"/>
    <w:rsid w:val="45E2495B"/>
    <w:rsid w:val="45E701C3"/>
    <w:rsid w:val="45E71F71"/>
    <w:rsid w:val="45E87A97"/>
    <w:rsid w:val="45EC57D9"/>
    <w:rsid w:val="45F428E0"/>
    <w:rsid w:val="45F4468E"/>
    <w:rsid w:val="45F823D0"/>
    <w:rsid w:val="45F96148"/>
    <w:rsid w:val="46072613"/>
    <w:rsid w:val="460C5E7C"/>
    <w:rsid w:val="46115240"/>
    <w:rsid w:val="46116FEE"/>
    <w:rsid w:val="46152F37"/>
    <w:rsid w:val="46333408"/>
    <w:rsid w:val="46396545"/>
    <w:rsid w:val="46470C62"/>
    <w:rsid w:val="464B23E7"/>
    <w:rsid w:val="464C5BD7"/>
    <w:rsid w:val="464C6278"/>
    <w:rsid w:val="464E3D9E"/>
    <w:rsid w:val="46503FBA"/>
    <w:rsid w:val="46577FD6"/>
    <w:rsid w:val="465B470D"/>
    <w:rsid w:val="466C6651"/>
    <w:rsid w:val="466D7884"/>
    <w:rsid w:val="4684002B"/>
    <w:rsid w:val="46841EB6"/>
    <w:rsid w:val="468477C0"/>
    <w:rsid w:val="46872C73"/>
    <w:rsid w:val="46893028"/>
    <w:rsid w:val="46957C1F"/>
    <w:rsid w:val="469D2991"/>
    <w:rsid w:val="469D4D26"/>
    <w:rsid w:val="469F14E0"/>
    <w:rsid w:val="46B67B95"/>
    <w:rsid w:val="46C329DE"/>
    <w:rsid w:val="46C44060"/>
    <w:rsid w:val="46D955A7"/>
    <w:rsid w:val="46DA3884"/>
    <w:rsid w:val="46E14C12"/>
    <w:rsid w:val="46E6047B"/>
    <w:rsid w:val="46EB6A7D"/>
    <w:rsid w:val="46EE10DD"/>
    <w:rsid w:val="46F012F9"/>
    <w:rsid w:val="46F25071"/>
    <w:rsid w:val="46F56910"/>
    <w:rsid w:val="46FE3A16"/>
    <w:rsid w:val="46FF778E"/>
    <w:rsid w:val="470152B5"/>
    <w:rsid w:val="47022DDB"/>
    <w:rsid w:val="47085802"/>
    <w:rsid w:val="47086643"/>
    <w:rsid w:val="470D1EAB"/>
    <w:rsid w:val="470E79D1"/>
    <w:rsid w:val="47133957"/>
    <w:rsid w:val="472114B3"/>
    <w:rsid w:val="47262F6D"/>
    <w:rsid w:val="472838C4"/>
    <w:rsid w:val="472D789A"/>
    <w:rsid w:val="473016F6"/>
    <w:rsid w:val="47317C5F"/>
    <w:rsid w:val="4732546E"/>
    <w:rsid w:val="47347438"/>
    <w:rsid w:val="47353712"/>
    <w:rsid w:val="47372A84"/>
    <w:rsid w:val="47392CA0"/>
    <w:rsid w:val="47451645"/>
    <w:rsid w:val="47482EE3"/>
    <w:rsid w:val="474B29D4"/>
    <w:rsid w:val="47596E9F"/>
    <w:rsid w:val="475A2C17"/>
    <w:rsid w:val="47605BC6"/>
    <w:rsid w:val="477E4B57"/>
    <w:rsid w:val="47855EE6"/>
    <w:rsid w:val="47911A05"/>
    <w:rsid w:val="479E48B1"/>
    <w:rsid w:val="47A04ACD"/>
    <w:rsid w:val="47A07E0C"/>
    <w:rsid w:val="47A345BE"/>
    <w:rsid w:val="47B24801"/>
    <w:rsid w:val="47B6609F"/>
    <w:rsid w:val="47BB36B5"/>
    <w:rsid w:val="47BC742D"/>
    <w:rsid w:val="47BE31A6"/>
    <w:rsid w:val="47C307BC"/>
    <w:rsid w:val="47C702AC"/>
    <w:rsid w:val="47CF43F7"/>
    <w:rsid w:val="47CF7161"/>
    <w:rsid w:val="47D74267"/>
    <w:rsid w:val="47E32C0C"/>
    <w:rsid w:val="47E349BA"/>
    <w:rsid w:val="47EA5D49"/>
    <w:rsid w:val="47ED3A8B"/>
    <w:rsid w:val="47ED5839"/>
    <w:rsid w:val="47F646ED"/>
    <w:rsid w:val="47F95F8C"/>
    <w:rsid w:val="47FB1D04"/>
    <w:rsid w:val="480768FB"/>
    <w:rsid w:val="480A1F47"/>
    <w:rsid w:val="481903DC"/>
    <w:rsid w:val="481B23A6"/>
    <w:rsid w:val="481D611E"/>
    <w:rsid w:val="48220665"/>
    <w:rsid w:val="482374AD"/>
    <w:rsid w:val="48253225"/>
    <w:rsid w:val="483D40CA"/>
    <w:rsid w:val="48482A6F"/>
    <w:rsid w:val="484A67E7"/>
    <w:rsid w:val="484C6A03"/>
    <w:rsid w:val="484F02A2"/>
    <w:rsid w:val="484F734D"/>
    <w:rsid w:val="485B6C46"/>
    <w:rsid w:val="485D476D"/>
    <w:rsid w:val="48627FD5"/>
    <w:rsid w:val="4867383D"/>
    <w:rsid w:val="4870272E"/>
    <w:rsid w:val="487321E2"/>
    <w:rsid w:val="48757D08"/>
    <w:rsid w:val="48896B80"/>
    <w:rsid w:val="488F069E"/>
    <w:rsid w:val="489A776F"/>
    <w:rsid w:val="48AD0F4E"/>
    <w:rsid w:val="48B16866"/>
    <w:rsid w:val="48B325DE"/>
    <w:rsid w:val="48B545A9"/>
    <w:rsid w:val="48B819A3"/>
    <w:rsid w:val="48BA1BBF"/>
    <w:rsid w:val="48C06AA9"/>
    <w:rsid w:val="48C447EC"/>
    <w:rsid w:val="48C90054"/>
    <w:rsid w:val="48C9414A"/>
    <w:rsid w:val="48CC18F2"/>
    <w:rsid w:val="48D10CB7"/>
    <w:rsid w:val="48D5496B"/>
    <w:rsid w:val="48D55147"/>
    <w:rsid w:val="48D82045"/>
    <w:rsid w:val="48DA5DBD"/>
    <w:rsid w:val="48E21116"/>
    <w:rsid w:val="48E629B4"/>
    <w:rsid w:val="48E76A7C"/>
    <w:rsid w:val="48E8646B"/>
    <w:rsid w:val="48E96000"/>
    <w:rsid w:val="48EB1D78"/>
    <w:rsid w:val="48EE1869"/>
    <w:rsid w:val="48F80521"/>
    <w:rsid w:val="48FF3A76"/>
    <w:rsid w:val="48FF5824"/>
    <w:rsid w:val="490260FB"/>
    <w:rsid w:val="490B241B"/>
    <w:rsid w:val="490C1CEF"/>
    <w:rsid w:val="490D6193"/>
    <w:rsid w:val="4913307D"/>
    <w:rsid w:val="4921579A"/>
    <w:rsid w:val="492434DC"/>
    <w:rsid w:val="492751BB"/>
    <w:rsid w:val="49351245"/>
    <w:rsid w:val="49382AE4"/>
    <w:rsid w:val="493D634C"/>
    <w:rsid w:val="49470F79"/>
    <w:rsid w:val="494F67AB"/>
    <w:rsid w:val="495518E8"/>
    <w:rsid w:val="495C67D2"/>
    <w:rsid w:val="497004D0"/>
    <w:rsid w:val="49714403"/>
    <w:rsid w:val="49787384"/>
    <w:rsid w:val="497C6E74"/>
    <w:rsid w:val="4981448B"/>
    <w:rsid w:val="499405D7"/>
    <w:rsid w:val="499C3073"/>
    <w:rsid w:val="499D1EFE"/>
    <w:rsid w:val="499E503D"/>
    <w:rsid w:val="49A62143"/>
    <w:rsid w:val="49AD702E"/>
    <w:rsid w:val="49B0654B"/>
    <w:rsid w:val="49CA5E32"/>
    <w:rsid w:val="49D15412"/>
    <w:rsid w:val="49D2118A"/>
    <w:rsid w:val="49D22F38"/>
    <w:rsid w:val="49D722FD"/>
    <w:rsid w:val="49DC7715"/>
    <w:rsid w:val="49DE368B"/>
    <w:rsid w:val="49E05655"/>
    <w:rsid w:val="49E1317B"/>
    <w:rsid w:val="49E35145"/>
    <w:rsid w:val="49E60792"/>
    <w:rsid w:val="49EB5DA8"/>
    <w:rsid w:val="49ED7A7E"/>
    <w:rsid w:val="49ED7D72"/>
    <w:rsid w:val="49EF7646"/>
    <w:rsid w:val="49F46E3E"/>
    <w:rsid w:val="49FE0BA4"/>
    <w:rsid w:val="4A023139"/>
    <w:rsid w:val="4A08695A"/>
    <w:rsid w:val="4A0A26D2"/>
    <w:rsid w:val="4A0E2C84"/>
    <w:rsid w:val="4A111CB3"/>
    <w:rsid w:val="4A183041"/>
    <w:rsid w:val="4A1E617D"/>
    <w:rsid w:val="4A2117CA"/>
    <w:rsid w:val="4A3E05CE"/>
    <w:rsid w:val="4A3E412A"/>
    <w:rsid w:val="4A4060F4"/>
    <w:rsid w:val="4A437992"/>
    <w:rsid w:val="4A477482"/>
    <w:rsid w:val="4A4A0D21"/>
    <w:rsid w:val="4A4A6F73"/>
    <w:rsid w:val="4A4F6337"/>
    <w:rsid w:val="4A565917"/>
    <w:rsid w:val="4A6242BC"/>
    <w:rsid w:val="4A6C0C97"/>
    <w:rsid w:val="4A6F0787"/>
    <w:rsid w:val="4A725786"/>
    <w:rsid w:val="4A7B576F"/>
    <w:rsid w:val="4A7E09CA"/>
    <w:rsid w:val="4A8E50B1"/>
    <w:rsid w:val="4A8E6E5F"/>
    <w:rsid w:val="4A954692"/>
    <w:rsid w:val="4A9A1C0C"/>
    <w:rsid w:val="4A9B5A20"/>
    <w:rsid w:val="4AA04DE4"/>
    <w:rsid w:val="4AAE5753"/>
    <w:rsid w:val="4AAF5028"/>
    <w:rsid w:val="4AB0359F"/>
    <w:rsid w:val="4ABB577A"/>
    <w:rsid w:val="4AC22FAD"/>
    <w:rsid w:val="4AC35380"/>
    <w:rsid w:val="4AC76815"/>
    <w:rsid w:val="4ACF7478"/>
    <w:rsid w:val="4AD8457E"/>
    <w:rsid w:val="4ADB406F"/>
    <w:rsid w:val="4AE03433"/>
    <w:rsid w:val="4AE178D7"/>
    <w:rsid w:val="4AE66891"/>
    <w:rsid w:val="4AE72A13"/>
    <w:rsid w:val="4AE747C1"/>
    <w:rsid w:val="4AF561A9"/>
    <w:rsid w:val="4B125CE2"/>
    <w:rsid w:val="4B1355B6"/>
    <w:rsid w:val="4B137364"/>
    <w:rsid w:val="4B1A06F3"/>
    <w:rsid w:val="4B201A81"/>
    <w:rsid w:val="4B217CD3"/>
    <w:rsid w:val="4B241572"/>
    <w:rsid w:val="4B2652EA"/>
    <w:rsid w:val="4B2D633B"/>
    <w:rsid w:val="4B2E0642"/>
    <w:rsid w:val="4B310029"/>
    <w:rsid w:val="4B337A07"/>
    <w:rsid w:val="4B3C2D5F"/>
    <w:rsid w:val="4B3F45FD"/>
    <w:rsid w:val="4B412124"/>
    <w:rsid w:val="4B413ED2"/>
    <w:rsid w:val="4B447E66"/>
    <w:rsid w:val="4B460AE7"/>
    <w:rsid w:val="4B4A1E34"/>
    <w:rsid w:val="4B502367"/>
    <w:rsid w:val="4B5B3B9A"/>
    <w:rsid w:val="4B5C51AF"/>
    <w:rsid w:val="4B5D6832"/>
    <w:rsid w:val="4B6776B0"/>
    <w:rsid w:val="4B6C4CC7"/>
    <w:rsid w:val="4B6F13A9"/>
    <w:rsid w:val="4B6F67D8"/>
    <w:rsid w:val="4B7355F5"/>
    <w:rsid w:val="4B771FE9"/>
    <w:rsid w:val="4B7A3887"/>
    <w:rsid w:val="4B863FDA"/>
    <w:rsid w:val="4B9A1834"/>
    <w:rsid w:val="4BA97CC9"/>
    <w:rsid w:val="4BB01057"/>
    <w:rsid w:val="4BC44B03"/>
    <w:rsid w:val="4BE34F89"/>
    <w:rsid w:val="4BE64DDA"/>
    <w:rsid w:val="4BEB02E1"/>
    <w:rsid w:val="4BED4059"/>
    <w:rsid w:val="4BF76C86"/>
    <w:rsid w:val="4C0A4C0B"/>
    <w:rsid w:val="4C172E84"/>
    <w:rsid w:val="4C294CC9"/>
    <w:rsid w:val="4C2D08FA"/>
    <w:rsid w:val="4C2D26A8"/>
    <w:rsid w:val="4C2F4672"/>
    <w:rsid w:val="4C343A36"/>
    <w:rsid w:val="4C350CC1"/>
    <w:rsid w:val="4C3B3017"/>
    <w:rsid w:val="4C417F01"/>
    <w:rsid w:val="4C4A0649"/>
    <w:rsid w:val="4C4A5008"/>
    <w:rsid w:val="4C5145E8"/>
    <w:rsid w:val="4C575977"/>
    <w:rsid w:val="4C5C50B7"/>
    <w:rsid w:val="4C5E0AB3"/>
    <w:rsid w:val="4C6562E6"/>
    <w:rsid w:val="4C6B4F7E"/>
    <w:rsid w:val="4C6D519A"/>
    <w:rsid w:val="4C710F14"/>
    <w:rsid w:val="4C714C8A"/>
    <w:rsid w:val="4C76404F"/>
    <w:rsid w:val="4C793B3F"/>
    <w:rsid w:val="4C7B3413"/>
    <w:rsid w:val="4C7C718B"/>
    <w:rsid w:val="4C7D53DD"/>
    <w:rsid w:val="4C7E5ECA"/>
    <w:rsid w:val="4C87000A"/>
    <w:rsid w:val="4C876AA5"/>
    <w:rsid w:val="4C8F3363"/>
    <w:rsid w:val="4C934C01"/>
    <w:rsid w:val="4C9646F1"/>
    <w:rsid w:val="4C983FC5"/>
    <w:rsid w:val="4CB44B77"/>
    <w:rsid w:val="4CBB5F06"/>
    <w:rsid w:val="4CBB7CB4"/>
    <w:rsid w:val="4CC052CA"/>
    <w:rsid w:val="4CC4300C"/>
    <w:rsid w:val="4CC528E0"/>
    <w:rsid w:val="4CC56D84"/>
    <w:rsid w:val="4CC748AA"/>
    <w:rsid w:val="4CCA439B"/>
    <w:rsid w:val="4CCA6149"/>
    <w:rsid w:val="4CD308BE"/>
    <w:rsid w:val="4CD46FC7"/>
    <w:rsid w:val="4CD722EC"/>
    <w:rsid w:val="4CEA2347"/>
    <w:rsid w:val="4CEA67EB"/>
    <w:rsid w:val="4CFB27A6"/>
    <w:rsid w:val="4CFF4044"/>
    <w:rsid w:val="4D0478AD"/>
    <w:rsid w:val="4D0A4797"/>
    <w:rsid w:val="4D0E00FB"/>
    <w:rsid w:val="4D111FCA"/>
    <w:rsid w:val="4D1473C4"/>
    <w:rsid w:val="4D151ABA"/>
    <w:rsid w:val="4D16138E"/>
    <w:rsid w:val="4D176606"/>
    <w:rsid w:val="4D1B4BF6"/>
    <w:rsid w:val="4D1F6494"/>
    <w:rsid w:val="4D203FBB"/>
    <w:rsid w:val="4D227D33"/>
    <w:rsid w:val="4D2E157C"/>
    <w:rsid w:val="4D3857A8"/>
    <w:rsid w:val="4D423F31"/>
    <w:rsid w:val="4D467EC5"/>
    <w:rsid w:val="4D4F0235"/>
    <w:rsid w:val="4D5D6FBD"/>
    <w:rsid w:val="4D662315"/>
    <w:rsid w:val="4D665E71"/>
    <w:rsid w:val="4D677E3B"/>
    <w:rsid w:val="4D697710"/>
    <w:rsid w:val="4D6E11CA"/>
    <w:rsid w:val="4D7E04A0"/>
    <w:rsid w:val="4D7F6F33"/>
    <w:rsid w:val="4D893963"/>
    <w:rsid w:val="4D8B3B2A"/>
    <w:rsid w:val="4D8C0196"/>
    <w:rsid w:val="4D8E53C8"/>
    <w:rsid w:val="4DA16EA9"/>
    <w:rsid w:val="4DA92202"/>
    <w:rsid w:val="4DAB1AD6"/>
    <w:rsid w:val="4DB27309"/>
    <w:rsid w:val="4DB50BA7"/>
    <w:rsid w:val="4DB52955"/>
    <w:rsid w:val="4DB7491F"/>
    <w:rsid w:val="4DB90697"/>
    <w:rsid w:val="4DBB438C"/>
    <w:rsid w:val="4DBC3CE3"/>
    <w:rsid w:val="4DC42B98"/>
    <w:rsid w:val="4DCB2178"/>
    <w:rsid w:val="4DD423EE"/>
    <w:rsid w:val="4DD51249"/>
    <w:rsid w:val="4DDC6134"/>
    <w:rsid w:val="4DDE00FE"/>
    <w:rsid w:val="4DE35714"/>
    <w:rsid w:val="4DEC4FB0"/>
    <w:rsid w:val="4DF711BF"/>
    <w:rsid w:val="4DF76D1C"/>
    <w:rsid w:val="4DF96CE5"/>
    <w:rsid w:val="4E041759"/>
    <w:rsid w:val="4E04568A"/>
    <w:rsid w:val="4E0557BA"/>
    <w:rsid w:val="4E075D8A"/>
    <w:rsid w:val="4E08517B"/>
    <w:rsid w:val="4E092CA1"/>
    <w:rsid w:val="4E0F475B"/>
    <w:rsid w:val="4E103609"/>
    <w:rsid w:val="4E192EE4"/>
    <w:rsid w:val="4E1C0C26"/>
    <w:rsid w:val="4E1C3451"/>
    <w:rsid w:val="4E1F24C4"/>
    <w:rsid w:val="4E217FEA"/>
    <w:rsid w:val="4E252DBF"/>
    <w:rsid w:val="4E2A3343"/>
    <w:rsid w:val="4E2E44B5"/>
    <w:rsid w:val="4E30022D"/>
    <w:rsid w:val="4E30647F"/>
    <w:rsid w:val="4E3C3076"/>
    <w:rsid w:val="4E4837C9"/>
    <w:rsid w:val="4E4D546F"/>
    <w:rsid w:val="4E524648"/>
    <w:rsid w:val="4E606D65"/>
    <w:rsid w:val="4E65257D"/>
    <w:rsid w:val="4E710F72"/>
    <w:rsid w:val="4E7B594C"/>
    <w:rsid w:val="4E7E543D"/>
    <w:rsid w:val="4E93713A"/>
    <w:rsid w:val="4E944C60"/>
    <w:rsid w:val="4E9B1B4B"/>
    <w:rsid w:val="4EAD7AD0"/>
    <w:rsid w:val="4EB1136E"/>
    <w:rsid w:val="4EC00FAD"/>
    <w:rsid w:val="4EC07803"/>
    <w:rsid w:val="4EC45545"/>
    <w:rsid w:val="4EC47553"/>
    <w:rsid w:val="4ECA2430"/>
    <w:rsid w:val="4ED27537"/>
    <w:rsid w:val="4EDD03B5"/>
    <w:rsid w:val="4EE01C53"/>
    <w:rsid w:val="4EEF00E8"/>
    <w:rsid w:val="4EF63225"/>
    <w:rsid w:val="4EF676C9"/>
    <w:rsid w:val="4EFA0F67"/>
    <w:rsid w:val="4F021BCA"/>
    <w:rsid w:val="4F041DA9"/>
    <w:rsid w:val="4F0973FC"/>
    <w:rsid w:val="4F0D7768"/>
    <w:rsid w:val="4F127F63"/>
    <w:rsid w:val="4F1426B5"/>
    <w:rsid w:val="4F18763F"/>
    <w:rsid w:val="4F1B2C8C"/>
    <w:rsid w:val="4F1C3B68"/>
    <w:rsid w:val="4F247D92"/>
    <w:rsid w:val="4F3D0E54"/>
    <w:rsid w:val="4F400944"/>
    <w:rsid w:val="4F4D3D6F"/>
    <w:rsid w:val="4F4E12B3"/>
    <w:rsid w:val="4F4F2935"/>
    <w:rsid w:val="4F50502B"/>
    <w:rsid w:val="4F5A1A06"/>
    <w:rsid w:val="4F5B4783"/>
    <w:rsid w:val="4F6C1739"/>
    <w:rsid w:val="4F6C34E7"/>
    <w:rsid w:val="4F701229"/>
    <w:rsid w:val="4F734876"/>
    <w:rsid w:val="4F7F321A"/>
    <w:rsid w:val="4F9071D6"/>
    <w:rsid w:val="4F913C0D"/>
    <w:rsid w:val="4F950C90"/>
    <w:rsid w:val="4F952A3E"/>
    <w:rsid w:val="4F9843DC"/>
    <w:rsid w:val="4F9A0054"/>
    <w:rsid w:val="4FA47125"/>
    <w:rsid w:val="4FA90297"/>
    <w:rsid w:val="4FA964E9"/>
    <w:rsid w:val="4FAC7D88"/>
    <w:rsid w:val="4FB93F1E"/>
    <w:rsid w:val="4FBA34DD"/>
    <w:rsid w:val="4FBA3848"/>
    <w:rsid w:val="4FC62A8C"/>
    <w:rsid w:val="4FCB2904"/>
    <w:rsid w:val="4FCB6460"/>
    <w:rsid w:val="4FCC4A71"/>
    <w:rsid w:val="4FCD544B"/>
    <w:rsid w:val="4FD035BF"/>
    <w:rsid w:val="4FDC68BF"/>
    <w:rsid w:val="4FE20F0D"/>
    <w:rsid w:val="4FE319FB"/>
    <w:rsid w:val="4FE439C5"/>
    <w:rsid w:val="4FE51552"/>
    <w:rsid w:val="4FE811D3"/>
    <w:rsid w:val="4FE90FDC"/>
    <w:rsid w:val="4FFA4F97"/>
    <w:rsid w:val="4FFC0D0F"/>
    <w:rsid w:val="500100D3"/>
    <w:rsid w:val="50106568"/>
    <w:rsid w:val="501A73E7"/>
    <w:rsid w:val="501F67AB"/>
    <w:rsid w:val="50224327"/>
    <w:rsid w:val="504A1A7A"/>
    <w:rsid w:val="50504C4B"/>
    <w:rsid w:val="50577CF3"/>
    <w:rsid w:val="50610B72"/>
    <w:rsid w:val="50632B3C"/>
    <w:rsid w:val="50666188"/>
    <w:rsid w:val="506863A4"/>
    <w:rsid w:val="50697A27"/>
    <w:rsid w:val="506F328F"/>
    <w:rsid w:val="50795EBC"/>
    <w:rsid w:val="507E1724"/>
    <w:rsid w:val="50836D3A"/>
    <w:rsid w:val="50901457"/>
    <w:rsid w:val="509727E6"/>
    <w:rsid w:val="509C6E7C"/>
    <w:rsid w:val="50A0169A"/>
    <w:rsid w:val="50A76ECD"/>
    <w:rsid w:val="50A8054F"/>
    <w:rsid w:val="50A970CD"/>
    <w:rsid w:val="50B36032"/>
    <w:rsid w:val="50BE5FC4"/>
    <w:rsid w:val="50D14039"/>
    <w:rsid w:val="50D94BAC"/>
    <w:rsid w:val="50E0418D"/>
    <w:rsid w:val="50E21CB3"/>
    <w:rsid w:val="50E7551B"/>
    <w:rsid w:val="50E84DEF"/>
    <w:rsid w:val="50EA6DB9"/>
    <w:rsid w:val="50EC68A2"/>
    <w:rsid w:val="50EF6964"/>
    <w:rsid w:val="50F47C38"/>
    <w:rsid w:val="510375FF"/>
    <w:rsid w:val="510D1493"/>
    <w:rsid w:val="511641BA"/>
    <w:rsid w:val="512A5408"/>
    <w:rsid w:val="513444D8"/>
    <w:rsid w:val="51361FFF"/>
    <w:rsid w:val="513E2C61"/>
    <w:rsid w:val="5144296E"/>
    <w:rsid w:val="51510BE7"/>
    <w:rsid w:val="515B1A65"/>
    <w:rsid w:val="5162104E"/>
    <w:rsid w:val="51622DF4"/>
    <w:rsid w:val="5162443C"/>
    <w:rsid w:val="5167665C"/>
    <w:rsid w:val="516A1CA8"/>
    <w:rsid w:val="51735001"/>
    <w:rsid w:val="51750D79"/>
    <w:rsid w:val="5178029F"/>
    <w:rsid w:val="518965D2"/>
    <w:rsid w:val="51A11B6E"/>
    <w:rsid w:val="51A67184"/>
    <w:rsid w:val="51A927D1"/>
    <w:rsid w:val="51AB479B"/>
    <w:rsid w:val="51AE428B"/>
    <w:rsid w:val="51AE6039"/>
    <w:rsid w:val="51B03B5F"/>
    <w:rsid w:val="51BC194B"/>
    <w:rsid w:val="51C07B1A"/>
    <w:rsid w:val="51C4585C"/>
    <w:rsid w:val="51CB2747"/>
    <w:rsid w:val="51CB6BEB"/>
    <w:rsid w:val="51CE66DB"/>
    <w:rsid w:val="51D07D5D"/>
    <w:rsid w:val="51D27F79"/>
    <w:rsid w:val="51D33CF1"/>
    <w:rsid w:val="51DB2ACD"/>
    <w:rsid w:val="51DC4954"/>
    <w:rsid w:val="51E41A5B"/>
    <w:rsid w:val="51F31C9E"/>
    <w:rsid w:val="51FA127E"/>
    <w:rsid w:val="5201085F"/>
    <w:rsid w:val="520774F7"/>
    <w:rsid w:val="52181704"/>
    <w:rsid w:val="52195BA8"/>
    <w:rsid w:val="521A36CE"/>
    <w:rsid w:val="521C0134"/>
    <w:rsid w:val="521C68BA"/>
    <w:rsid w:val="52287B99"/>
    <w:rsid w:val="5248023B"/>
    <w:rsid w:val="524D4622"/>
    <w:rsid w:val="524F15CA"/>
    <w:rsid w:val="52530420"/>
    <w:rsid w:val="52586B0D"/>
    <w:rsid w:val="525C5A95"/>
    <w:rsid w:val="525F7333"/>
    <w:rsid w:val="5264234F"/>
    <w:rsid w:val="5264494A"/>
    <w:rsid w:val="526D7CA2"/>
    <w:rsid w:val="526F57C8"/>
    <w:rsid w:val="527032EE"/>
    <w:rsid w:val="5277486F"/>
    <w:rsid w:val="527E1EAF"/>
    <w:rsid w:val="5281374D"/>
    <w:rsid w:val="52880638"/>
    <w:rsid w:val="528A0854"/>
    <w:rsid w:val="528B637A"/>
    <w:rsid w:val="529140CD"/>
    <w:rsid w:val="5292215D"/>
    <w:rsid w:val="52976ACD"/>
    <w:rsid w:val="529F5982"/>
    <w:rsid w:val="52A86F2C"/>
    <w:rsid w:val="52AD4542"/>
    <w:rsid w:val="52B2321D"/>
    <w:rsid w:val="52BE482B"/>
    <w:rsid w:val="52C75604"/>
    <w:rsid w:val="52C838D8"/>
    <w:rsid w:val="52CC2C1B"/>
    <w:rsid w:val="52CF270B"/>
    <w:rsid w:val="52D47D21"/>
    <w:rsid w:val="52ED493F"/>
    <w:rsid w:val="52EF4B5B"/>
    <w:rsid w:val="52F42171"/>
    <w:rsid w:val="52FC2DD4"/>
    <w:rsid w:val="5302663C"/>
    <w:rsid w:val="53332C9A"/>
    <w:rsid w:val="5334431C"/>
    <w:rsid w:val="53364538"/>
    <w:rsid w:val="533662E6"/>
    <w:rsid w:val="534F55FA"/>
    <w:rsid w:val="53563C96"/>
    <w:rsid w:val="535A6478"/>
    <w:rsid w:val="536E3CD2"/>
    <w:rsid w:val="537D1A12"/>
    <w:rsid w:val="537F7C8D"/>
    <w:rsid w:val="538E6122"/>
    <w:rsid w:val="53907399"/>
    <w:rsid w:val="5394125E"/>
    <w:rsid w:val="53A039CC"/>
    <w:rsid w:val="53A1505A"/>
    <w:rsid w:val="53A476F3"/>
    <w:rsid w:val="53A5521A"/>
    <w:rsid w:val="53AF7E46"/>
    <w:rsid w:val="53B8319F"/>
    <w:rsid w:val="53B87EAE"/>
    <w:rsid w:val="53C05963"/>
    <w:rsid w:val="53C2401E"/>
    <w:rsid w:val="53CB2ED2"/>
    <w:rsid w:val="53CD5259"/>
    <w:rsid w:val="53D0673A"/>
    <w:rsid w:val="53D73CF6"/>
    <w:rsid w:val="53D815BC"/>
    <w:rsid w:val="53DF072C"/>
    <w:rsid w:val="53DF24DA"/>
    <w:rsid w:val="53E44857"/>
    <w:rsid w:val="53E72565"/>
    <w:rsid w:val="53EA0E7E"/>
    <w:rsid w:val="53EF0DEF"/>
    <w:rsid w:val="53F7629E"/>
    <w:rsid w:val="53FD6E04"/>
    <w:rsid w:val="54041F40"/>
    <w:rsid w:val="54063E08"/>
    <w:rsid w:val="54091C4C"/>
    <w:rsid w:val="540B7773"/>
    <w:rsid w:val="540E2DBF"/>
    <w:rsid w:val="54183C3E"/>
    <w:rsid w:val="541859EC"/>
    <w:rsid w:val="541F5A70"/>
    <w:rsid w:val="541F6D7A"/>
    <w:rsid w:val="54302D35"/>
    <w:rsid w:val="54336CC9"/>
    <w:rsid w:val="543437E8"/>
    <w:rsid w:val="543E18F6"/>
    <w:rsid w:val="543F566E"/>
    <w:rsid w:val="544E765F"/>
    <w:rsid w:val="545A24A8"/>
    <w:rsid w:val="545A4256"/>
    <w:rsid w:val="545F7ABE"/>
    <w:rsid w:val="5463310B"/>
    <w:rsid w:val="546649A9"/>
    <w:rsid w:val="546D21DB"/>
    <w:rsid w:val="547C535B"/>
    <w:rsid w:val="548D462B"/>
    <w:rsid w:val="548F2152"/>
    <w:rsid w:val="54972DB4"/>
    <w:rsid w:val="549E05E7"/>
    <w:rsid w:val="54A83213"/>
    <w:rsid w:val="54AA0D3A"/>
    <w:rsid w:val="54AD082A"/>
    <w:rsid w:val="54AD6A7C"/>
    <w:rsid w:val="54BF230B"/>
    <w:rsid w:val="54C5092C"/>
    <w:rsid w:val="54C6369A"/>
    <w:rsid w:val="54D2203E"/>
    <w:rsid w:val="54D73AF9"/>
    <w:rsid w:val="54DC2EBD"/>
    <w:rsid w:val="54DE6C35"/>
    <w:rsid w:val="54E24BEF"/>
    <w:rsid w:val="54F00716"/>
    <w:rsid w:val="54F40207"/>
    <w:rsid w:val="54F46459"/>
    <w:rsid w:val="54F73313"/>
    <w:rsid w:val="54F80955"/>
    <w:rsid w:val="55127748"/>
    <w:rsid w:val="551408A9"/>
    <w:rsid w:val="551D59AF"/>
    <w:rsid w:val="55202DAA"/>
    <w:rsid w:val="55257C46"/>
    <w:rsid w:val="55264684"/>
    <w:rsid w:val="55284354"/>
    <w:rsid w:val="552F7491"/>
    <w:rsid w:val="55313209"/>
    <w:rsid w:val="55314FB7"/>
    <w:rsid w:val="553410B2"/>
    <w:rsid w:val="553A45E0"/>
    <w:rsid w:val="553B5E36"/>
    <w:rsid w:val="554271C4"/>
    <w:rsid w:val="554A6079"/>
    <w:rsid w:val="555170A7"/>
    <w:rsid w:val="55572544"/>
    <w:rsid w:val="5559450E"/>
    <w:rsid w:val="556077FC"/>
    <w:rsid w:val="556233C2"/>
    <w:rsid w:val="55654C60"/>
    <w:rsid w:val="55665B55"/>
    <w:rsid w:val="55690BF5"/>
    <w:rsid w:val="556A04C9"/>
    <w:rsid w:val="55713605"/>
    <w:rsid w:val="5572737D"/>
    <w:rsid w:val="55766E6E"/>
    <w:rsid w:val="557B4484"/>
    <w:rsid w:val="55807CEC"/>
    <w:rsid w:val="55855303"/>
    <w:rsid w:val="558570B1"/>
    <w:rsid w:val="55872E29"/>
    <w:rsid w:val="5587536D"/>
    <w:rsid w:val="558C48E3"/>
    <w:rsid w:val="5596306C"/>
    <w:rsid w:val="559A7000"/>
    <w:rsid w:val="559B174B"/>
    <w:rsid w:val="55A75279"/>
    <w:rsid w:val="55B13095"/>
    <w:rsid w:val="55B64551"/>
    <w:rsid w:val="55B87486"/>
    <w:rsid w:val="55BB2AD2"/>
    <w:rsid w:val="55BB6F76"/>
    <w:rsid w:val="55C844F0"/>
    <w:rsid w:val="55CC1183"/>
    <w:rsid w:val="55CE0CF4"/>
    <w:rsid w:val="55D32512"/>
    <w:rsid w:val="55D43B94"/>
    <w:rsid w:val="55DD0C9B"/>
    <w:rsid w:val="55DF0EB7"/>
    <w:rsid w:val="55E42029"/>
    <w:rsid w:val="55E87EA6"/>
    <w:rsid w:val="55EB785C"/>
    <w:rsid w:val="55F10BEA"/>
    <w:rsid w:val="55F85AD5"/>
    <w:rsid w:val="55FA184D"/>
    <w:rsid w:val="5604091D"/>
    <w:rsid w:val="56066443"/>
    <w:rsid w:val="56085601"/>
    <w:rsid w:val="560A5808"/>
    <w:rsid w:val="560A60D3"/>
    <w:rsid w:val="56114DE8"/>
    <w:rsid w:val="561B1C9D"/>
    <w:rsid w:val="561D19DF"/>
    <w:rsid w:val="561F5757"/>
    <w:rsid w:val="56220DA3"/>
    <w:rsid w:val="562502F1"/>
    <w:rsid w:val="562525BB"/>
    <w:rsid w:val="562D7E5B"/>
    <w:rsid w:val="56352885"/>
    <w:rsid w:val="563A433F"/>
    <w:rsid w:val="563B3BA0"/>
    <w:rsid w:val="564927D4"/>
    <w:rsid w:val="56496330"/>
    <w:rsid w:val="565076BF"/>
    <w:rsid w:val="565371AF"/>
    <w:rsid w:val="566B274A"/>
    <w:rsid w:val="56701B0F"/>
    <w:rsid w:val="56707D61"/>
    <w:rsid w:val="56815ACA"/>
    <w:rsid w:val="568630E0"/>
    <w:rsid w:val="568D26C1"/>
    <w:rsid w:val="56941CA1"/>
    <w:rsid w:val="56A812A9"/>
    <w:rsid w:val="56B22591"/>
    <w:rsid w:val="56B22A9C"/>
    <w:rsid w:val="56B440F1"/>
    <w:rsid w:val="56B714EC"/>
    <w:rsid w:val="56BC4D54"/>
    <w:rsid w:val="56BE0ACC"/>
    <w:rsid w:val="56BE6D1E"/>
    <w:rsid w:val="56C41E5B"/>
    <w:rsid w:val="56C500AD"/>
    <w:rsid w:val="56CC38D1"/>
    <w:rsid w:val="56CD51B3"/>
    <w:rsid w:val="56CF2CD9"/>
    <w:rsid w:val="56D7393C"/>
    <w:rsid w:val="56ED315F"/>
    <w:rsid w:val="56ED7603"/>
    <w:rsid w:val="56F42740"/>
    <w:rsid w:val="56F91B04"/>
    <w:rsid w:val="56F97D56"/>
    <w:rsid w:val="570404A9"/>
    <w:rsid w:val="570566FB"/>
    <w:rsid w:val="570861EB"/>
    <w:rsid w:val="571B7CCD"/>
    <w:rsid w:val="571C1C97"/>
    <w:rsid w:val="5726041F"/>
    <w:rsid w:val="57315742"/>
    <w:rsid w:val="573338E1"/>
    <w:rsid w:val="573568B4"/>
    <w:rsid w:val="573E39BB"/>
    <w:rsid w:val="57437223"/>
    <w:rsid w:val="574B60D8"/>
    <w:rsid w:val="57517B92"/>
    <w:rsid w:val="575256B8"/>
    <w:rsid w:val="57525F8D"/>
    <w:rsid w:val="575260F8"/>
    <w:rsid w:val="575907F5"/>
    <w:rsid w:val="575B27BF"/>
    <w:rsid w:val="575B631B"/>
    <w:rsid w:val="5765719A"/>
    <w:rsid w:val="57671164"/>
    <w:rsid w:val="57684EDC"/>
    <w:rsid w:val="576D42A0"/>
    <w:rsid w:val="576F0018"/>
    <w:rsid w:val="57713D91"/>
    <w:rsid w:val="57763155"/>
    <w:rsid w:val="57770C7B"/>
    <w:rsid w:val="577B69BD"/>
    <w:rsid w:val="57805D82"/>
    <w:rsid w:val="57811AFA"/>
    <w:rsid w:val="57931F59"/>
    <w:rsid w:val="579637F7"/>
    <w:rsid w:val="579E08FE"/>
    <w:rsid w:val="57A8352A"/>
    <w:rsid w:val="57AB24DB"/>
    <w:rsid w:val="57B72A76"/>
    <w:rsid w:val="57C3426C"/>
    <w:rsid w:val="57C55E8A"/>
    <w:rsid w:val="57C57C38"/>
    <w:rsid w:val="57C97313"/>
    <w:rsid w:val="57CA0634"/>
    <w:rsid w:val="57CE1F93"/>
    <w:rsid w:val="57D1482F"/>
    <w:rsid w:val="57D305A7"/>
    <w:rsid w:val="57DD1426"/>
    <w:rsid w:val="57E207EA"/>
    <w:rsid w:val="57E72625"/>
    <w:rsid w:val="57E9504D"/>
    <w:rsid w:val="57EC1669"/>
    <w:rsid w:val="57EF2EDD"/>
    <w:rsid w:val="57F15695"/>
    <w:rsid w:val="58003366"/>
    <w:rsid w:val="580C3AB9"/>
    <w:rsid w:val="58117322"/>
    <w:rsid w:val="582157B7"/>
    <w:rsid w:val="58226E39"/>
    <w:rsid w:val="582A1B6E"/>
    <w:rsid w:val="583A6878"/>
    <w:rsid w:val="58432BE6"/>
    <w:rsid w:val="58445001"/>
    <w:rsid w:val="58450D79"/>
    <w:rsid w:val="58472D43"/>
    <w:rsid w:val="58615BB3"/>
    <w:rsid w:val="586236D9"/>
    <w:rsid w:val="586631C9"/>
    <w:rsid w:val="58705DF6"/>
    <w:rsid w:val="58727DC0"/>
    <w:rsid w:val="58767185"/>
    <w:rsid w:val="587C29ED"/>
    <w:rsid w:val="5886561A"/>
    <w:rsid w:val="588743D1"/>
    <w:rsid w:val="5887701A"/>
    <w:rsid w:val="5889335C"/>
    <w:rsid w:val="588D4BFA"/>
    <w:rsid w:val="58975A79"/>
    <w:rsid w:val="589A3BD7"/>
    <w:rsid w:val="589E6E07"/>
    <w:rsid w:val="58AB32D2"/>
    <w:rsid w:val="58AE2DC2"/>
    <w:rsid w:val="58B008E9"/>
    <w:rsid w:val="58B303D9"/>
    <w:rsid w:val="58B31C4F"/>
    <w:rsid w:val="58BA3515"/>
    <w:rsid w:val="58BC103B"/>
    <w:rsid w:val="58BC54DF"/>
    <w:rsid w:val="58C148A4"/>
    <w:rsid w:val="58C6010C"/>
    <w:rsid w:val="58CA7BFC"/>
    <w:rsid w:val="58CB74D0"/>
    <w:rsid w:val="58CB7CA5"/>
    <w:rsid w:val="58D02D39"/>
    <w:rsid w:val="58E32A6C"/>
    <w:rsid w:val="58E67648"/>
    <w:rsid w:val="58E80D86"/>
    <w:rsid w:val="58E81E30"/>
    <w:rsid w:val="58EB36CF"/>
    <w:rsid w:val="58F509F1"/>
    <w:rsid w:val="58F7227B"/>
    <w:rsid w:val="58FF53CC"/>
    <w:rsid w:val="58FF717A"/>
    <w:rsid w:val="59084281"/>
    <w:rsid w:val="59127D64"/>
    <w:rsid w:val="59140E77"/>
    <w:rsid w:val="59266DFD"/>
    <w:rsid w:val="592F7A5F"/>
    <w:rsid w:val="59401C6C"/>
    <w:rsid w:val="59462FFB"/>
    <w:rsid w:val="59597927"/>
    <w:rsid w:val="595B0854"/>
    <w:rsid w:val="595C45CC"/>
    <w:rsid w:val="595E20F3"/>
    <w:rsid w:val="59611BE3"/>
    <w:rsid w:val="596127C5"/>
    <w:rsid w:val="596A6CE9"/>
    <w:rsid w:val="596B480F"/>
    <w:rsid w:val="596C0CB3"/>
    <w:rsid w:val="596F2552"/>
    <w:rsid w:val="597731B4"/>
    <w:rsid w:val="597C07CB"/>
    <w:rsid w:val="598D29D8"/>
    <w:rsid w:val="599109BB"/>
    <w:rsid w:val="59934492"/>
    <w:rsid w:val="59941FB8"/>
    <w:rsid w:val="599E2E37"/>
    <w:rsid w:val="59A541C5"/>
    <w:rsid w:val="59AC10B0"/>
    <w:rsid w:val="59AC5E01"/>
    <w:rsid w:val="59B47F65"/>
    <w:rsid w:val="59B94D9F"/>
    <w:rsid w:val="59B9557B"/>
    <w:rsid w:val="59BE5287"/>
    <w:rsid w:val="59C0439F"/>
    <w:rsid w:val="59D625D1"/>
    <w:rsid w:val="59DE4FE1"/>
    <w:rsid w:val="59E051FD"/>
    <w:rsid w:val="59E31446"/>
    <w:rsid w:val="59E706E7"/>
    <w:rsid w:val="59E940B2"/>
    <w:rsid w:val="59EC3BA2"/>
    <w:rsid w:val="59F76AFF"/>
    <w:rsid w:val="59FF38D6"/>
    <w:rsid w:val="5A040EEC"/>
    <w:rsid w:val="5A0433B4"/>
    <w:rsid w:val="5A04713E"/>
    <w:rsid w:val="5A0A4028"/>
    <w:rsid w:val="5A0C5FF2"/>
    <w:rsid w:val="5A113609"/>
    <w:rsid w:val="5A1153B7"/>
    <w:rsid w:val="5A184997"/>
    <w:rsid w:val="5A272E2C"/>
    <w:rsid w:val="5A2A46CB"/>
    <w:rsid w:val="5A307F33"/>
    <w:rsid w:val="5A3317D1"/>
    <w:rsid w:val="5A4C63EF"/>
    <w:rsid w:val="5A4E03B9"/>
    <w:rsid w:val="5A4F5EDF"/>
    <w:rsid w:val="5A582FE6"/>
    <w:rsid w:val="5A6220B6"/>
    <w:rsid w:val="5A64198B"/>
    <w:rsid w:val="5A6C60F1"/>
    <w:rsid w:val="5A6E0A5B"/>
    <w:rsid w:val="5A706581"/>
    <w:rsid w:val="5A753B98"/>
    <w:rsid w:val="5A7A7400"/>
    <w:rsid w:val="5A8C2C8F"/>
    <w:rsid w:val="5A9304C2"/>
    <w:rsid w:val="5A9658BC"/>
    <w:rsid w:val="5A9A35FE"/>
    <w:rsid w:val="5AA91A93"/>
    <w:rsid w:val="5AA93841"/>
    <w:rsid w:val="5AB87F28"/>
    <w:rsid w:val="5ABA512D"/>
    <w:rsid w:val="5ABC17C7"/>
    <w:rsid w:val="5ABD72ED"/>
    <w:rsid w:val="5ABE2233"/>
    <w:rsid w:val="5ABF4E13"/>
    <w:rsid w:val="5AC02939"/>
    <w:rsid w:val="5AC643F3"/>
    <w:rsid w:val="5AD20FEA"/>
    <w:rsid w:val="5ADA1C4D"/>
    <w:rsid w:val="5ADA39FB"/>
    <w:rsid w:val="5ADD34EB"/>
    <w:rsid w:val="5AE605F2"/>
    <w:rsid w:val="5AE66ECB"/>
    <w:rsid w:val="5AEE394A"/>
    <w:rsid w:val="5AF01470"/>
    <w:rsid w:val="5AF76AEA"/>
    <w:rsid w:val="5B062A42"/>
    <w:rsid w:val="5B0E7B48"/>
    <w:rsid w:val="5B0F7567"/>
    <w:rsid w:val="5B101B12"/>
    <w:rsid w:val="5B1135C8"/>
    <w:rsid w:val="5B136F0D"/>
    <w:rsid w:val="5B172EA1"/>
    <w:rsid w:val="5B1C7D53"/>
    <w:rsid w:val="5B242EC8"/>
    <w:rsid w:val="5B252ECE"/>
    <w:rsid w:val="5B253396"/>
    <w:rsid w:val="5B2829B8"/>
    <w:rsid w:val="5B294982"/>
    <w:rsid w:val="5B2E56C1"/>
    <w:rsid w:val="5B303F63"/>
    <w:rsid w:val="5B321A89"/>
    <w:rsid w:val="5B323837"/>
    <w:rsid w:val="5B353327"/>
    <w:rsid w:val="5B37709F"/>
    <w:rsid w:val="5B416F42"/>
    <w:rsid w:val="5B423504"/>
    <w:rsid w:val="5B433C96"/>
    <w:rsid w:val="5B4377F2"/>
    <w:rsid w:val="5B4E427E"/>
    <w:rsid w:val="5B5639C9"/>
    <w:rsid w:val="5B57329D"/>
    <w:rsid w:val="5B591DBE"/>
    <w:rsid w:val="5B5F2152"/>
    <w:rsid w:val="5B653C0C"/>
    <w:rsid w:val="5B6A2FD1"/>
    <w:rsid w:val="5B6B0AF7"/>
    <w:rsid w:val="5B726329"/>
    <w:rsid w:val="5B7420A1"/>
    <w:rsid w:val="5B7618FC"/>
    <w:rsid w:val="5B767BC7"/>
    <w:rsid w:val="5B81031A"/>
    <w:rsid w:val="5B857E0A"/>
    <w:rsid w:val="5B8A3673"/>
    <w:rsid w:val="5B8F47E5"/>
    <w:rsid w:val="5B991B08"/>
    <w:rsid w:val="5B9C6F02"/>
    <w:rsid w:val="5BA1276A"/>
    <w:rsid w:val="5BB93F58"/>
    <w:rsid w:val="5BBE156E"/>
    <w:rsid w:val="5BC70423"/>
    <w:rsid w:val="5BCD355F"/>
    <w:rsid w:val="5BDF5D95"/>
    <w:rsid w:val="5BE2525D"/>
    <w:rsid w:val="5BE2700B"/>
    <w:rsid w:val="5BFE196B"/>
    <w:rsid w:val="5BFE7528"/>
    <w:rsid w:val="5C0E355E"/>
    <w:rsid w:val="5C11169E"/>
    <w:rsid w:val="5C114548"/>
    <w:rsid w:val="5C1318BA"/>
    <w:rsid w:val="5C1967A5"/>
    <w:rsid w:val="5C1B42CB"/>
    <w:rsid w:val="5C2238AB"/>
    <w:rsid w:val="5C240AE9"/>
    <w:rsid w:val="5C2A6C04"/>
    <w:rsid w:val="5C2C0286"/>
    <w:rsid w:val="5C2C64D8"/>
    <w:rsid w:val="5C321615"/>
    <w:rsid w:val="5C3435DF"/>
    <w:rsid w:val="5C361105"/>
    <w:rsid w:val="5C384E7D"/>
    <w:rsid w:val="5C3929A3"/>
    <w:rsid w:val="5C3D2493"/>
    <w:rsid w:val="5C480E38"/>
    <w:rsid w:val="5C4C6B7A"/>
    <w:rsid w:val="5C4D05EC"/>
    <w:rsid w:val="5C553C81"/>
    <w:rsid w:val="5C5A1297"/>
    <w:rsid w:val="5C5B0B6B"/>
    <w:rsid w:val="5C62014C"/>
    <w:rsid w:val="5C6A0DAE"/>
    <w:rsid w:val="5C71038F"/>
    <w:rsid w:val="5C75658A"/>
    <w:rsid w:val="5C7C1761"/>
    <w:rsid w:val="5C7F0CFE"/>
    <w:rsid w:val="5C806824"/>
    <w:rsid w:val="5C844566"/>
    <w:rsid w:val="5C880946"/>
    <w:rsid w:val="5C8956D8"/>
    <w:rsid w:val="5C930305"/>
    <w:rsid w:val="5C9F4EFC"/>
    <w:rsid w:val="5CA40764"/>
    <w:rsid w:val="5CAE3391"/>
    <w:rsid w:val="5CBA1D36"/>
    <w:rsid w:val="5CC20BEA"/>
    <w:rsid w:val="5CC901CB"/>
    <w:rsid w:val="5CD86660"/>
    <w:rsid w:val="5CDD5A24"/>
    <w:rsid w:val="5CE46DB3"/>
    <w:rsid w:val="5CE70651"/>
    <w:rsid w:val="5CE96177"/>
    <w:rsid w:val="5CEE19DF"/>
    <w:rsid w:val="5CEE378D"/>
    <w:rsid w:val="5CF50FC0"/>
    <w:rsid w:val="5CFF3BED"/>
    <w:rsid w:val="5D0821DE"/>
    <w:rsid w:val="5D101956"/>
    <w:rsid w:val="5D1313BE"/>
    <w:rsid w:val="5D184CAE"/>
    <w:rsid w:val="5D192F00"/>
    <w:rsid w:val="5D1C02FB"/>
    <w:rsid w:val="5D26561D"/>
    <w:rsid w:val="5D290C69"/>
    <w:rsid w:val="5D2F7CA9"/>
    <w:rsid w:val="5D3078A7"/>
    <w:rsid w:val="5D327B1E"/>
    <w:rsid w:val="5D375134"/>
    <w:rsid w:val="5D447851"/>
    <w:rsid w:val="5D4A130C"/>
    <w:rsid w:val="5D526412"/>
    <w:rsid w:val="5D557CB0"/>
    <w:rsid w:val="5D635F29"/>
    <w:rsid w:val="5D746389"/>
    <w:rsid w:val="5D7A7717"/>
    <w:rsid w:val="5D814602"/>
    <w:rsid w:val="5D9535FE"/>
    <w:rsid w:val="5D9C143B"/>
    <w:rsid w:val="5DAA7FFC"/>
    <w:rsid w:val="5DAF5613"/>
    <w:rsid w:val="5DAF73C1"/>
    <w:rsid w:val="5DB1138B"/>
    <w:rsid w:val="5DB65C4E"/>
    <w:rsid w:val="5DBA499B"/>
    <w:rsid w:val="5DBC1ADE"/>
    <w:rsid w:val="5DCA7D57"/>
    <w:rsid w:val="5DCB1D21"/>
    <w:rsid w:val="5DCC0264"/>
    <w:rsid w:val="5DCC7F73"/>
    <w:rsid w:val="5DD15589"/>
    <w:rsid w:val="5DD45079"/>
    <w:rsid w:val="5DD9443E"/>
    <w:rsid w:val="5DD961EC"/>
    <w:rsid w:val="5DE057CC"/>
    <w:rsid w:val="5DE132F2"/>
    <w:rsid w:val="5DE352BC"/>
    <w:rsid w:val="5DEB5F1F"/>
    <w:rsid w:val="5DED7EE9"/>
    <w:rsid w:val="5E007C1C"/>
    <w:rsid w:val="5E04700C"/>
    <w:rsid w:val="5E08087F"/>
    <w:rsid w:val="5E0F7E5F"/>
    <w:rsid w:val="5E196F30"/>
    <w:rsid w:val="5E1E66DC"/>
    <w:rsid w:val="5E2467F1"/>
    <w:rsid w:val="5E282CCF"/>
    <w:rsid w:val="5E2C0A11"/>
    <w:rsid w:val="5E2C6C63"/>
    <w:rsid w:val="5E2E29DB"/>
    <w:rsid w:val="5E324AF8"/>
    <w:rsid w:val="5E354DB9"/>
    <w:rsid w:val="5E3653EC"/>
    <w:rsid w:val="5E3B2A02"/>
    <w:rsid w:val="5E3E6996"/>
    <w:rsid w:val="5E451AD3"/>
    <w:rsid w:val="5E457D25"/>
    <w:rsid w:val="5E4A623E"/>
    <w:rsid w:val="5E4D0988"/>
    <w:rsid w:val="5E5A37D0"/>
    <w:rsid w:val="5E5B391D"/>
    <w:rsid w:val="5E5D506F"/>
    <w:rsid w:val="5E666302"/>
    <w:rsid w:val="5E68756F"/>
    <w:rsid w:val="5E6C3504"/>
    <w:rsid w:val="5E6F4DA2"/>
    <w:rsid w:val="5E6F6B50"/>
    <w:rsid w:val="5E702CAA"/>
    <w:rsid w:val="5E734892"/>
    <w:rsid w:val="5E78246C"/>
    <w:rsid w:val="5E793037"/>
    <w:rsid w:val="5E831846"/>
    <w:rsid w:val="5E844F41"/>
    <w:rsid w:val="5E8641AB"/>
    <w:rsid w:val="5E8B31F0"/>
    <w:rsid w:val="5E930A90"/>
    <w:rsid w:val="5E93283E"/>
    <w:rsid w:val="5E975130"/>
    <w:rsid w:val="5E9860A7"/>
    <w:rsid w:val="5E9A1E1F"/>
    <w:rsid w:val="5E9B0849"/>
    <w:rsid w:val="5E9D755E"/>
    <w:rsid w:val="5EA507C4"/>
    <w:rsid w:val="5EAF519E"/>
    <w:rsid w:val="5EB00087"/>
    <w:rsid w:val="5EB379E0"/>
    <w:rsid w:val="5EB90EE3"/>
    <w:rsid w:val="5EB91404"/>
    <w:rsid w:val="5EC12917"/>
    <w:rsid w:val="5EC272D5"/>
    <w:rsid w:val="5EC7073A"/>
    <w:rsid w:val="5ECA3D86"/>
    <w:rsid w:val="5EDA221B"/>
    <w:rsid w:val="5EE44E48"/>
    <w:rsid w:val="5EE4753E"/>
    <w:rsid w:val="5EE66E12"/>
    <w:rsid w:val="5EE83993"/>
    <w:rsid w:val="5EEB749F"/>
    <w:rsid w:val="5F0059FA"/>
    <w:rsid w:val="5F107065"/>
    <w:rsid w:val="5F13397F"/>
    <w:rsid w:val="5F182D44"/>
    <w:rsid w:val="5F1A2B43"/>
    <w:rsid w:val="5F2C67EF"/>
    <w:rsid w:val="5F4B4EC7"/>
    <w:rsid w:val="5F506981"/>
    <w:rsid w:val="5F546472"/>
    <w:rsid w:val="5F577D10"/>
    <w:rsid w:val="5F5E19CE"/>
    <w:rsid w:val="5F5F4E16"/>
    <w:rsid w:val="5F64242D"/>
    <w:rsid w:val="5F7A57AC"/>
    <w:rsid w:val="5F7C1524"/>
    <w:rsid w:val="5FA016B7"/>
    <w:rsid w:val="5FA10F8B"/>
    <w:rsid w:val="5FA32F55"/>
    <w:rsid w:val="5FAB005C"/>
    <w:rsid w:val="5FB23198"/>
    <w:rsid w:val="5FB837BB"/>
    <w:rsid w:val="5FCE3A7A"/>
    <w:rsid w:val="5FD17AC2"/>
    <w:rsid w:val="5FD56E87"/>
    <w:rsid w:val="5FDC6467"/>
    <w:rsid w:val="5FE33352"/>
    <w:rsid w:val="5FE47241"/>
    <w:rsid w:val="5FE72628"/>
    <w:rsid w:val="5FE80968"/>
    <w:rsid w:val="5FED41D0"/>
    <w:rsid w:val="5FF11F12"/>
    <w:rsid w:val="5FF13CC0"/>
    <w:rsid w:val="5FF732A1"/>
    <w:rsid w:val="600734E4"/>
    <w:rsid w:val="601259E5"/>
    <w:rsid w:val="60173560"/>
    <w:rsid w:val="60175E05"/>
    <w:rsid w:val="60275934"/>
    <w:rsid w:val="602D281F"/>
    <w:rsid w:val="60340051"/>
    <w:rsid w:val="603E4A2C"/>
    <w:rsid w:val="6048238E"/>
    <w:rsid w:val="60487659"/>
    <w:rsid w:val="604A15B9"/>
    <w:rsid w:val="604A517F"/>
    <w:rsid w:val="604D4D70"/>
    <w:rsid w:val="60575AEE"/>
    <w:rsid w:val="60583D40"/>
    <w:rsid w:val="605A5DDF"/>
    <w:rsid w:val="605D4865"/>
    <w:rsid w:val="60634492"/>
    <w:rsid w:val="6065020A"/>
    <w:rsid w:val="6067535B"/>
    <w:rsid w:val="60695F4D"/>
    <w:rsid w:val="606F2E37"/>
    <w:rsid w:val="607D5554"/>
    <w:rsid w:val="6082251F"/>
    <w:rsid w:val="60870181"/>
    <w:rsid w:val="608E7761"/>
    <w:rsid w:val="60912DAE"/>
    <w:rsid w:val="60917218"/>
    <w:rsid w:val="60924BE4"/>
    <w:rsid w:val="6094289E"/>
    <w:rsid w:val="609B1E7E"/>
    <w:rsid w:val="60A33AB3"/>
    <w:rsid w:val="60A54AAB"/>
    <w:rsid w:val="60AC408B"/>
    <w:rsid w:val="60B73847"/>
    <w:rsid w:val="60BD5461"/>
    <w:rsid w:val="60C90799"/>
    <w:rsid w:val="60CA62C0"/>
    <w:rsid w:val="60CC405A"/>
    <w:rsid w:val="60DA0BF8"/>
    <w:rsid w:val="60DA3B44"/>
    <w:rsid w:val="60DB671F"/>
    <w:rsid w:val="60DF1D6B"/>
    <w:rsid w:val="60E6759D"/>
    <w:rsid w:val="60E90E3C"/>
    <w:rsid w:val="60EC4488"/>
    <w:rsid w:val="60EE3BF2"/>
    <w:rsid w:val="60F313B0"/>
    <w:rsid w:val="60F8107F"/>
    <w:rsid w:val="60F82E2D"/>
    <w:rsid w:val="60FD6695"/>
    <w:rsid w:val="61016185"/>
    <w:rsid w:val="61025A59"/>
    <w:rsid w:val="61054966"/>
    <w:rsid w:val="61096DE8"/>
    <w:rsid w:val="610D03E6"/>
    <w:rsid w:val="610E2650"/>
    <w:rsid w:val="611063C8"/>
    <w:rsid w:val="61161505"/>
    <w:rsid w:val="6118702B"/>
    <w:rsid w:val="611E2EDC"/>
    <w:rsid w:val="611F2AAF"/>
    <w:rsid w:val="61241E74"/>
    <w:rsid w:val="61247BC4"/>
    <w:rsid w:val="612851EA"/>
    <w:rsid w:val="6138147B"/>
    <w:rsid w:val="613A1697"/>
    <w:rsid w:val="6146003C"/>
    <w:rsid w:val="614B7400"/>
    <w:rsid w:val="61601145"/>
    <w:rsid w:val="61614E76"/>
    <w:rsid w:val="61695AD8"/>
    <w:rsid w:val="616B7AA3"/>
    <w:rsid w:val="617213B6"/>
    <w:rsid w:val="618F19E3"/>
    <w:rsid w:val="61907509"/>
    <w:rsid w:val="6198016C"/>
    <w:rsid w:val="619C1A0A"/>
    <w:rsid w:val="619E03D3"/>
    <w:rsid w:val="619E1C26"/>
    <w:rsid w:val="61A11716"/>
    <w:rsid w:val="61AB7E9F"/>
    <w:rsid w:val="61B256D1"/>
    <w:rsid w:val="61B83929"/>
    <w:rsid w:val="61B94FDB"/>
    <w:rsid w:val="61BC20AC"/>
    <w:rsid w:val="61BD1857"/>
    <w:rsid w:val="61C20C5E"/>
    <w:rsid w:val="61CB5742"/>
    <w:rsid w:val="61D03DA9"/>
    <w:rsid w:val="61D2367E"/>
    <w:rsid w:val="61D54F1C"/>
    <w:rsid w:val="61D911C4"/>
    <w:rsid w:val="61D94AC0"/>
    <w:rsid w:val="61DE64C6"/>
    <w:rsid w:val="61E215D8"/>
    <w:rsid w:val="61EA6C19"/>
    <w:rsid w:val="61EB0BE3"/>
    <w:rsid w:val="61F061FA"/>
    <w:rsid w:val="61FE4473"/>
    <w:rsid w:val="61FF01EB"/>
    <w:rsid w:val="62004B9F"/>
    <w:rsid w:val="620F6680"/>
    <w:rsid w:val="62137E26"/>
    <w:rsid w:val="62145A44"/>
    <w:rsid w:val="62153E49"/>
    <w:rsid w:val="621B3775"/>
    <w:rsid w:val="6223378D"/>
    <w:rsid w:val="622D2C0D"/>
    <w:rsid w:val="62364782"/>
    <w:rsid w:val="623B56C7"/>
    <w:rsid w:val="623B7475"/>
    <w:rsid w:val="62426A55"/>
    <w:rsid w:val="6243457B"/>
    <w:rsid w:val="624560CC"/>
    <w:rsid w:val="62465E1A"/>
    <w:rsid w:val="62491F34"/>
    <w:rsid w:val="6251059F"/>
    <w:rsid w:val="625D388F"/>
    <w:rsid w:val="6267026A"/>
    <w:rsid w:val="626764BC"/>
    <w:rsid w:val="626D1BCA"/>
    <w:rsid w:val="626F35C2"/>
    <w:rsid w:val="627E3805"/>
    <w:rsid w:val="629642BB"/>
    <w:rsid w:val="62966DA1"/>
    <w:rsid w:val="62996C46"/>
    <w:rsid w:val="629E5C56"/>
    <w:rsid w:val="62A13F4D"/>
    <w:rsid w:val="62A24FB1"/>
    <w:rsid w:val="62A56FE4"/>
    <w:rsid w:val="62AA45FB"/>
    <w:rsid w:val="62AF1C11"/>
    <w:rsid w:val="62AF39BF"/>
    <w:rsid w:val="62B40FD5"/>
    <w:rsid w:val="62B80AC5"/>
    <w:rsid w:val="62BD60DC"/>
    <w:rsid w:val="62C54F90"/>
    <w:rsid w:val="62C84A81"/>
    <w:rsid w:val="62CC27C3"/>
    <w:rsid w:val="62CE278D"/>
    <w:rsid w:val="62DA4EE0"/>
    <w:rsid w:val="62E73159"/>
    <w:rsid w:val="62EA49F7"/>
    <w:rsid w:val="62EE3C5C"/>
    <w:rsid w:val="62EF64B1"/>
    <w:rsid w:val="62F37D50"/>
    <w:rsid w:val="6300246C"/>
    <w:rsid w:val="630B09B9"/>
    <w:rsid w:val="63100901"/>
    <w:rsid w:val="631D6B7A"/>
    <w:rsid w:val="63223553"/>
    <w:rsid w:val="63276A8B"/>
    <w:rsid w:val="63293771"/>
    <w:rsid w:val="63316ACA"/>
    <w:rsid w:val="63365E8E"/>
    <w:rsid w:val="633A3BD0"/>
    <w:rsid w:val="63442359"/>
    <w:rsid w:val="63471E49"/>
    <w:rsid w:val="63506F50"/>
    <w:rsid w:val="635B76A3"/>
    <w:rsid w:val="635F53E5"/>
    <w:rsid w:val="63612F0B"/>
    <w:rsid w:val="63620A31"/>
    <w:rsid w:val="63666773"/>
    <w:rsid w:val="636C365E"/>
    <w:rsid w:val="637846F9"/>
    <w:rsid w:val="638135AD"/>
    <w:rsid w:val="63862972"/>
    <w:rsid w:val="638E7A78"/>
    <w:rsid w:val="63913F53"/>
    <w:rsid w:val="639257BA"/>
    <w:rsid w:val="6394356A"/>
    <w:rsid w:val="63975AE2"/>
    <w:rsid w:val="639808F7"/>
    <w:rsid w:val="639C5E91"/>
    <w:rsid w:val="63B21468"/>
    <w:rsid w:val="63B514A9"/>
    <w:rsid w:val="63B773AF"/>
    <w:rsid w:val="63B956FE"/>
    <w:rsid w:val="63BD210C"/>
    <w:rsid w:val="63C118F1"/>
    <w:rsid w:val="63C27722"/>
    <w:rsid w:val="63C33BC6"/>
    <w:rsid w:val="63C42F5C"/>
    <w:rsid w:val="63C61B2C"/>
    <w:rsid w:val="63CC234F"/>
    <w:rsid w:val="63CD67F3"/>
    <w:rsid w:val="63D23E09"/>
    <w:rsid w:val="63D336DD"/>
    <w:rsid w:val="63D40BE9"/>
    <w:rsid w:val="63D731CD"/>
    <w:rsid w:val="63DA0F0F"/>
    <w:rsid w:val="63DD455C"/>
    <w:rsid w:val="63E678B4"/>
    <w:rsid w:val="63F7561D"/>
    <w:rsid w:val="63FC70D8"/>
    <w:rsid w:val="63FE58EC"/>
    <w:rsid w:val="64021955"/>
    <w:rsid w:val="64063AB3"/>
    <w:rsid w:val="64095351"/>
    <w:rsid w:val="64102431"/>
    <w:rsid w:val="64122457"/>
    <w:rsid w:val="641A755E"/>
    <w:rsid w:val="641C5084"/>
    <w:rsid w:val="64267CB1"/>
    <w:rsid w:val="64283A29"/>
    <w:rsid w:val="6429796D"/>
    <w:rsid w:val="642F125B"/>
    <w:rsid w:val="64326656"/>
    <w:rsid w:val="64371EBE"/>
    <w:rsid w:val="64393E88"/>
    <w:rsid w:val="643C74D4"/>
    <w:rsid w:val="644B7717"/>
    <w:rsid w:val="64520AA6"/>
    <w:rsid w:val="64616F3B"/>
    <w:rsid w:val="64630F05"/>
    <w:rsid w:val="647749B0"/>
    <w:rsid w:val="6477675E"/>
    <w:rsid w:val="647924D6"/>
    <w:rsid w:val="648D7D30"/>
    <w:rsid w:val="64930081"/>
    <w:rsid w:val="64942E6C"/>
    <w:rsid w:val="649E018F"/>
    <w:rsid w:val="649E1F3D"/>
    <w:rsid w:val="64A05CB5"/>
    <w:rsid w:val="64A5243A"/>
    <w:rsid w:val="64A62BA0"/>
    <w:rsid w:val="64A77044"/>
    <w:rsid w:val="64A86918"/>
    <w:rsid w:val="64AA6B34"/>
    <w:rsid w:val="64AB3259"/>
    <w:rsid w:val="64AC28AC"/>
    <w:rsid w:val="64B21C19"/>
    <w:rsid w:val="64BE25DF"/>
    <w:rsid w:val="64D836A1"/>
    <w:rsid w:val="64F531DE"/>
    <w:rsid w:val="64F8164D"/>
    <w:rsid w:val="64F8789F"/>
    <w:rsid w:val="64FD4EB5"/>
    <w:rsid w:val="64FE0AA4"/>
    <w:rsid w:val="64FF0C2E"/>
    <w:rsid w:val="6502071E"/>
    <w:rsid w:val="65051FBC"/>
    <w:rsid w:val="65071890"/>
    <w:rsid w:val="650A6582"/>
    <w:rsid w:val="650E0E71"/>
    <w:rsid w:val="6522491C"/>
    <w:rsid w:val="652C12F7"/>
    <w:rsid w:val="65373578"/>
    <w:rsid w:val="65420B1A"/>
    <w:rsid w:val="65426D6C"/>
    <w:rsid w:val="65474383"/>
    <w:rsid w:val="654A79CF"/>
    <w:rsid w:val="65562818"/>
    <w:rsid w:val="655E70D6"/>
    <w:rsid w:val="655F791E"/>
    <w:rsid w:val="65622F6B"/>
    <w:rsid w:val="65646CE3"/>
    <w:rsid w:val="656C203B"/>
    <w:rsid w:val="656C3DE9"/>
    <w:rsid w:val="657D5FF6"/>
    <w:rsid w:val="657F58CB"/>
    <w:rsid w:val="658B24C1"/>
    <w:rsid w:val="65931376"/>
    <w:rsid w:val="659B749C"/>
    <w:rsid w:val="65A7539B"/>
    <w:rsid w:val="65B55790"/>
    <w:rsid w:val="65B85280"/>
    <w:rsid w:val="65BC6B1F"/>
    <w:rsid w:val="65BF216B"/>
    <w:rsid w:val="65C6174B"/>
    <w:rsid w:val="65DD6A95"/>
    <w:rsid w:val="65E16585"/>
    <w:rsid w:val="65F75DA9"/>
    <w:rsid w:val="65F8567D"/>
    <w:rsid w:val="65FC6F1B"/>
    <w:rsid w:val="66012783"/>
    <w:rsid w:val="66100C18"/>
    <w:rsid w:val="661070A1"/>
    <w:rsid w:val="662B7A06"/>
    <w:rsid w:val="6635242D"/>
    <w:rsid w:val="663568D1"/>
    <w:rsid w:val="6639016F"/>
    <w:rsid w:val="6646288C"/>
    <w:rsid w:val="66482160"/>
    <w:rsid w:val="664D7777"/>
    <w:rsid w:val="66501015"/>
    <w:rsid w:val="66567ADA"/>
    <w:rsid w:val="665B6338"/>
    <w:rsid w:val="665C20B0"/>
    <w:rsid w:val="667411A7"/>
    <w:rsid w:val="667473F9"/>
    <w:rsid w:val="66756A00"/>
    <w:rsid w:val="66756CCD"/>
    <w:rsid w:val="6678134D"/>
    <w:rsid w:val="6679056C"/>
    <w:rsid w:val="667C1E0A"/>
    <w:rsid w:val="667E2026"/>
    <w:rsid w:val="667F2833"/>
    <w:rsid w:val="66807B4C"/>
    <w:rsid w:val="668533B4"/>
    <w:rsid w:val="66A51361"/>
    <w:rsid w:val="66AA6977"/>
    <w:rsid w:val="66AD46B9"/>
    <w:rsid w:val="66AD6467"/>
    <w:rsid w:val="66AF0431"/>
    <w:rsid w:val="66B35C73"/>
    <w:rsid w:val="66B617C0"/>
    <w:rsid w:val="66B75538"/>
    <w:rsid w:val="66C0619B"/>
    <w:rsid w:val="66C7577B"/>
    <w:rsid w:val="66C94C75"/>
    <w:rsid w:val="66C96CB6"/>
    <w:rsid w:val="66CA7019"/>
    <w:rsid w:val="66CC2D91"/>
    <w:rsid w:val="66D67198"/>
    <w:rsid w:val="66DB1226"/>
    <w:rsid w:val="66E225B5"/>
    <w:rsid w:val="66EF082E"/>
    <w:rsid w:val="66F127F8"/>
    <w:rsid w:val="66F42721"/>
    <w:rsid w:val="66F81DD8"/>
    <w:rsid w:val="66FD73EF"/>
    <w:rsid w:val="670354A0"/>
    <w:rsid w:val="67095D94"/>
    <w:rsid w:val="670C5884"/>
    <w:rsid w:val="67144738"/>
    <w:rsid w:val="671464E6"/>
    <w:rsid w:val="67185FD7"/>
    <w:rsid w:val="671958AB"/>
    <w:rsid w:val="671B7875"/>
    <w:rsid w:val="671F124A"/>
    <w:rsid w:val="67204E8B"/>
    <w:rsid w:val="67256946"/>
    <w:rsid w:val="67332E10"/>
    <w:rsid w:val="673979C5"/>
    <w:rsid w:val="673D77EB"/>
    <w:rsid w:val="67446DCC"/>
    <w:rsid w:val="674768BC"/>
    <w:rsid w:val="67492634"/>
    <w:rsid w:val="674A015A"/>
    <w:rsid w:val="674E7C4A"/>
    <w:rsid w:val="6751773B"/>
    <w:rsid w:val="675D07D0"/>
    <w:rsid w:val="67672ABA"/>
    <w:rsid w:val="676C00D0"/>
    <w:rsid w:val="6773145F"/>
    <w:rsid w:val="67753429"/>
    <w:rsid w:val="6776241D"/>
    <w:rsid w:val="677A33C6"/>
    <w:rsid w:val="677C34FF"/>
    <w:rsid w:val="678138A4"/>
    <w:rsid w:val="679413D5"/>
    <w:rsid w:val="679F2254"/>
    <w:rsid w:val="67A755AC"/>
    <w:rsid w:val="67AE2497"/>
    <w:rsid w:val="67B664C2"/>
    <w:rsid w:val="67B6759E"/>
    <w:rsid w:val="67C223E6"/>
    <w:rsid w:val="67C972D1"/>
    <w:rsid w:val="67CC6DC1"/>
    <w:rsid w:val="67DB65DE"/>
    <w:rsid w:val="67DB7004"/>
    <w:rsid w:val="67DC5256"/>
    <w:rsid w:val="67DF6AF4"/>
    <w:rsid w:val="67ED7463"/>
    <w:rsid w:val="67EF1B70"/>
    <w:rsid w:val="67F24A7A"/>
    <w:rsid w:val="67FD6F7B"/>
    <w:rsid w:val="68060525"/>
    <w:rsid w:val="68071BA7"/>
    <w:rsid w:val="6808604B"/>
    <w:rsid w:val="680C4C52"/>
    <w:rsid w:val="680D18B3"/>
    <w:rsid w:val="680E73DA"/>
    <w:rsid w:val="681C38A5"/>
    <w:rsid w:val="681F6961"/>
    <w:rsid w:val="68211994"/>
    <w:rsid w:val="6821710D"/>
    <w:rsid w:val="682664D1"/>
    <w:rsid w:val="683010FE"/>
    <w:rsid w:val="6837248C"/>
    <w:rsid w:val="68376930"/>
    <w:rsid w:val="683E7CBF"/>
    <w:rsid w:val="683F7593"/>
    <w:rsid w:val="68420E31"/>
    <w:rsid w:val="684D5FCD"/>
    <w:rsid w:val="68531770"/>
    <w:rsid w:val="68556DB7"/>
    <w:rsid w:val="68572B2F"/>
    <w:rsid w:val="685A261F"/>
    <w:rsid w:val="685C0145"/>
    <w:rsid w:val="685F7C35"/>
    <w:rsid w:val="68610A2F"/>
    <w:rsid w:val="68684D3A"/>
    <w:rsid w:val="686B482C"/>
    <w:rsid w:val="686D2352"/>
    <w:rsid w:val="68701E42"/>
    <w:rsid w:val="687C43B7"/>
    <w:rsid w:val="68805514"/>
    <w:rsid w:val="68831B76"/>
    <w:rsid w:val="68896A60"/>
    <w:rsid w:val="6894168D"/>
    <w:rsid w:val="68A11FFC"/>
    <w:rsid w:val="68AB2E7A"/>
    <w:rsid w:val="68BD5C18"/>
    <w:rsid w:val="68BE495C"/>
    <w:rsid w:val="68C36F6D"/>
    <w:rsid w:val="68CF0917"/>
    <w:rsid w:val="68CF6B69"/>
    <w:rsid w:val="68D06FB7"/>
    <w:rsid w:val="68D51CA5"/>
    <w:rsid w:val="68E343C2"/>
    <w:rsid w:val="68E7538B"/>
    <w:rsid w:val="68FE5C6A"/>
    <w:rsid w:val="68FE744E"/>
    <w:rsid w:val="69076303"/>
    <w:rsid w:val="690A194F"/>
    <w:rsid w:val="690C6AFD"/>
    <w:rsid w:val="690F6F65"/>
    <w:rsid w:val="691E364C"/>
    <w:rsid w:val="6920290F"/>
    <w:rsid w:val="692A1FF1"/>
    <w:rsid w:val="6931512E"/>
    <w:rsid w:val="69316E2F"/>
    <w:rsid w:val="693C3AD3"/>
    <w:rsid w:val="693D1D24"/>
    <w:rsid w:val="693E5A9D"/>
    <w:rsid w:val="694035C3"/>
    <w:rsid w:val="69407A67"/>
    <w:rsid w:val="69450BD9"/>
    <w:rsid w:val="6945507D"/>
    <w:rsid w:val="694A1AEF"/>
    <w:rsid w:val="694E2071"/>
    <w:rsid w:val="695452C0"/>
    <w:rsid w:val="6958090C"/>
    <w:rsid w:val="69603935"/>
    <w:rsid w:val="6968734D"/>
    <w:rsid w:val="696E50DB"/>
    <w:rsid w:val="69731BEA"/>
    <w:rsid w:val="69747710"/>
    <w:rsid w:val="69766163"/>
    <w:rsid w:val="697A3B33"/>
    <w:rsid w:val="697E40EB"/>
    <w:rsid w:val="69847953"/>
    <w:rsid w:val="698C6808"/>
    <w:rsid w:val="69931944"/>
    <w:rsid w:val="69977A8C"/>
    <w:rsid w:val="699851AD"/>
    <w:rsid w:val="69990F25"/>
    <w:rsid w:val="69A00505"/>
    <w:rsid w:val="69A9560C"/>
    <w:rsid w:val="69AF24F6"/>
    <w:rsid w:val="69B47B0D"/>
    <w:rsid w:val="69B83AA1"/>
    <w:rsid w:val="69BB533F"/>
    <w:rsid w:val="69BD10B7"/>
    <w:rsid w:val="69C266CE"/>
    <w:rsid w:val="69CE2946"/>
    <w:rsid w:val="69D02B99"/>
    <w:rsid w:val="69D44760"/>
    <w:rsid w:val="69D97A59"/>
    <w:rsid w:val="69DA7573"/>
    <w:rsid w:val="69DB153D"/>
    <w:rsid w:val="69DC778F"/>
    <w:rsid w:val="69EA09DE"/>
    <w:rsid w:val="69F12B0F"/>
    <w:rsid w:val="69FA7C16"/>
    <w:rsid w:val="69FF347E"/>
    <w:rsid w:val="6A042842"/>
    <w:rsid w:val="6A077D43"/>
    <w:rsid w:val="6A154A4F"/>
    <w:rsid w:val="6A1707C7"/>
    <w:rsid w:val="6A1F142A"/>
    <w:rsid w:val="6A2E3D63"/>
    <w:rsid w:val="6A413A96"/>
    <w:rsid w:val="6A484E25"/>
    <w:rsid w:val="6A4A3798"/>
    <w:rsid w:val="6A4A5469"/>
    <w:rsid w:val="6A4C5F97"/>
    <w:rsid w:val="6A4D243B"/>
    <w:rsid w:val="6A520EC7"/>
    <w:rsid w:val="6A5512F0"/>
    <w:rsid w:val="6A590DE0"/>
    <w:rsid w:val="6A627569"/>
    <w:rsid w:val="6A6B7365"/>
    <w:rsid w:val="6A6D488B"/>
    <w:rsid w:val="6A6E23B2"/>
    <w:rsid w:val="6A731776"/>
    <w:rsid w:val="6A794FDE"/>
    <w:rsid w:val="6A813E93"/>
    <w:rsid w:val="6A841BD5"/>
    <w:rsid w:val="6A845731"/>
    <w:rsid w:val="6AA620F6"/>
    <w:rsid w:val="6AC16985"/>
    <w:rsid w:val="6ACA3A8C"/>
    <w:rsid w:val="6AD00976"/>
    <w:rsid w:val="6ADB15C1"/>
    <w:rsid w:val="6ADC37BF"/>
    <w:rsid w:val="6ADC556D"/>
    <w:rsid w:val="6ADE3093"/>
    <w:rsid w:val="6AF208ED"/>
    <w:rsid w:val="6AF87E20"/>
    <w:rsid w:val="6AFD04B1"/>
    <w:rsid w:val="6AFE54E3"/>
    <w:rsid w:val="6B0A20DA"/>
    <w:rsid w:val="6B0B19AE"/>
    <w:rsid w:val="6B0D1BCA"/>
    <w:rsid w:val="6B120F8F"/>
    <w:rsid w:val="6B15282D"/>
    <w:rsid w:val="6B1B7E43"/>
    <w:rsid w:val="6B252A70"/>
    <w:rsid w:val="6B2B3DFF"/>
    <w:rsid w:val="6B2D401B"/>
    <w:rsid w:val="6B301415"/>
    <w:rsid w:val="6B3158B9"/>
    <w:rsid w:val="6B322639"/>
    <w:rsid w:val="6B364C7D"/>
    <w:rsid w:val="6B421874"/>
    <w:rsid w:val="6B451364"/>
    <w:rsid w:val="6B482C03"/>
    <w:rsid w:val="6B4F21E3"/>
    <w:rsid w:val="6B5C045C"/>
    <w:rsid w:val="6B6317EA"/>
    <w:rsid w:val="6B637A3C"/>
    <w:rsid w:val="6B6A0DCB"/>
    <w:rsid w:val="6B6E08BB"/>
    <w:rsid w:val="6B6F17F0"/>
    <w:rsid w:val="6B8579B3"/>
    <w:rsid w:val="6B867AC6"/>
    <w:rsid w:val="6B894F68"/>
    <w:rsid w:val="6B9145AA"/>
    <w:rsid w:val="6B930322"/>
    <w:rsid w:val="6B9D4CFC"/>
    <w:rsid w:val="6BB32772"/>
    <w:rsid w:val="6BB67B6C"/>
    <w:rsid w:val="6BB97D35"/>
    <w:rsid w:val="6BBB1626"/>
    <w:rsid w:val="6BC04E8F"/>
    <w:rsid w:val="6BC524A5"/>
    <w:rsid w:val="6BCA3618"/>
    <w:rsid w:val="6BD85D34"/>
    <w:rsid w:val="6BDB6BAC"/>
    <w:rsid w:val="6BE4292B"/>
    <w:rsid w:val="6BEC00A0"/>
    <w:rsid w:val="6BEC358E"/>
    <w:rsid w:val="6BF40694"/>
    <w:rsid w:val="6BF43BA8"/>
    <w:rsid w:val="6BF568E6"/>
    <w:rsid w:val="6BFA53C8"/>
    <w:rsid w:val="6C026F1B"/>
    <w:rsid w:val="6C027255"/>
    <w:rsid w:val="6C0345B2"/>
    <w:rsid w:val="6C07661A"/>
    <w:rsid w:val="6C103720"/>
    <w:rsid w:val="6C133210"/>
    <w:rsid w:val="6C22683E"/>
    <w:rsid w:val="6C264CF2"/>
    <w:rsid w:val="6C276CBC"/>
    <w:rsid w:val="6C313697"/>
    <w:rsid w:val="6C33740F"/>
    <w:rsid w:val="6C3C4515"/>
    <w:rsid w:val="6C3F3D03"/>
    <w:rsid w:val="6C4139BE"/>
    <w:rsid w:val="6C44786E"/>
    <w:rsid w:val="6C463BBA"/>
    <w:rsid w:val="6C53185F"/>
    <w:rsid w:val="6C553829"/>
    <w:rsid w:val="6C5555D7"/>
    <w:rsid w:val="6C5775A1"/>
    <w:rsid w:val="6C5A499B"/>
    <w:rsid w:val="6C627CF4"/>
    <w:rsid w:val="6C636C38"/>
    <w:rsid w:val="6C663340"/>
    <w:rsid w:val="6C6C3316"/>
    <w:rsid w:val="6C7C7008"/>
    <w:rsid w:val="6C823EF2"/>
    <w:rsid w:val="6C845EBC"/>
    <w:rsid w:val="6C8859AD"/>
    <w:rsid w:val="6C9768B4"/>
    <w:rsid w:val="6C9A56E0"/>
    <w:rsid w:val="6CA200F0"/>
    <w:rsid w:val="6CA4030D"/>
    <w:rsid w:val="6CAB169B"/>
    <w:rsid w:val="6CAD71C1"/>
    <w:rsid w:val="6CB05D30"/>
    <w:rsid w:val="6CB542C8"/>
    <w:rsid w:val="6CBA7B30"/>
    <w:rsid w:val="6CC22541"/>
    <w:rsid w:val="6CD41070"/>
    <w:rsid w:val="6CDA788A"/>
    <w:rsid w:val="6CDE580B"/>
    <w:rsid w:val="6CE32BE3"/>
    <w:rsid w:val="6CF272CA"/>
    <w:rsid w:val="6CF46B9E"/>
    <w:rsid w:val="6D0668D1"/>
    <w:rsid w:val="6D192AA9"/>
    <w:rsid w:val="6D254FA9"/>
    <w:rsid w:val="6D390A55"/>
    <w:rsid w:val="6D3C0545"/>
    <w:rsid w:val="6D4274C8"/>
    <w:rsid w:val="6D454822"/>
    <w:rsid w:val="6D54763D"/>
    <w:rsid w:val="6D572428"/>
    <w:rsid w:val="6D5C015B"/>
    <w:rsid w:val="6D612D57"/>
    <w:rsid w:val="6D6A6E60"/>
    <w:rsid w:val="6D6C0E2A"/>
    <w:rsid w:val="6D6D5055"/>
    <w:rsid w:val="6D761CA9"/>
    <w:rsid w:val="6D7777CF"/>
    <w:rsid w:val="6D7D4DE5"/>
    <w:rsid w:val="6D800432"/>
    <w:rsid w:val="6D8048D6"/>
    <w:rsid w:val="6D8223FC"/>
    <w:rsid w:val="6D8819DC"/>
    <w:rsid w:val="6D8F2D6B"/>
    <w:rsid w:val="6D91263F"/>
    <w:rsid w:val="6D995997"/>
    <w:rsid w:val="6D9E4D5C"/>
    <w:rsid w:val="6DA46816"/>
    <w:rsid w:val="6DA57E98"/>
    <w:rsid w:val="6DA71E62"/>
    <w:rsid w:val="6DAA3EA2"/>
    <w:rsid w:val="6DAD31F1"/>
    <w:rsid w:val="6DB34098"/>
    <w:rsid w:val="6DB344D1"/>
    <w:rsid w:val="6DB46DDC"/>
    <w:rsid w:val="6DB545B6"/>
    <w:rsid w:val="6DB63E53"/>
    <w:rsid w:val="6DB85E1E"/>
    <w:rsid w:val="6DB93944"/>
    <w:rsid w:val="6DBA066E"/>
    <w:rsid w:val="6DBD1686"/>
    <w:rsid w:val="6DC347C2"/>
    <w:rsid w:val="6DC42A14"/>
    <w:rsid w:val="6DDB1B0C"/>
    <w:rsid w:val="6DDE15FC"/>
    <w:rsid w:val="6DE02FB4"/>
    <w:rsid w:val="6DE2733E"/>
    <w:rsid w:val="6DE50BDD"/>
    <w:rsid w:val="6DE71DDB"/>
    <w:rsid w:val="6DED2DE8"/>
    <w:rsid w:val="6DEF55B7"/>
    <w:rsid w:val="6DFA4688"/>
    <w:rsid w:val="6E0077C5"/>
    <w:rsid w:val="6E0332E1"/>
    <w:rsid w:val="6E072901"/>
    <w:rsid w:val="6E095813"/>
    <w:rsid w:val="6E0C7F17"/>
    <w:rsid w:val="6E10219F"/>
    <w:rsid w:val="6E105C5A"/>
    <w:rsid w:val="6E12373D"/>
    <w:rsid w:val="6E160D96"/>
    <w:rsid w:val="6E163F58"/>
    <w:rsid w:val="6E26547D"/>
    <w:rsid w:val="6E276AFF"/>
    <w:rsid w:val="6E3556C0"/>
    <w:rsid w:val="6E380D0C"/>
    <w:rsid w:val="6E3A4A84"/>
    <w:rsid w:val="6E3D6323"/>
    <w:rsid w:val="6E405E13"/>
    <w:rsid w:val="6E445903"/>
    <w:rsid w:val="6E494CC8"/>
    <w:rsid w:val="6E510020"/>
    <w:rsid w:val="6E514CED"/>
    <w:rsid w:val="6E531FEA"/>
    <w:rsid w:val="6E58315D"/>
    <w:rsid w:val="6E5A5127"/>
    <w:rsid w:val="6E5C256C"/>
    <w:rsid w:val="6E600263"/>
    <w:rsid w:val="6E6164B5"/>
    <w:rsid w:val="6E656C01"/>
    <w:rsid w:val="6E6B7334"/>
    <w:rsid w:val="6E737F96"/>
    <w:rsid w:val="6E843F52"/>
    <w:rsid w:val="6E881C94"/>
    <w:rsid w:val="6E8B3532"/>
    <w:rsid w:val="6E8D72AA"/>
    <w:rsid w:val="6E9313EA"/>
    <w:rsid w:val="6EA2087C"/>
    <w:rsid w:val="6EA42846"/>
    <w:rsid w:val="6EB563D5"/>
    <w:rsid w:val="6EB8009F"/>
    <w:rsid w:val="6EC24A7A"/>
    <w:rsid w:val="6EC30F1E"/>
    <w:rsid w:val="6EC922AC"/>
    <w:rsid w:val="6EC95E08"/>
    <w:rsid w:val="6ED0363B"/>
    <w:rsid w:val="6ED92677"/>
    <w:rsid w:val="6EE3511C"/>
    <w:rsid w:val="6EE756FF"/>
    <w:rsid w:val="6EE80984"/>
    <w:rsid w:val="6EE90259"/>
    <w:rsid w:val="6EE964AB"/>
    <w:rsid w:val="6EF2710D"/>
    <w:rsid w:val="6F0137F4"/>
    <w:rsid w:val="6F0542B4"/>
    <w:rsid w:val="6F0B4673"/>
    <w:rsid w:val="6F101C89"/>
    <w:rsid w:val="6F1843FB"/>
    <w:rsid w:val="6F215C44"/>
    <w:rsid w:val="6F225983"/>
    <w:rsid w:val="6F2474E3"/>
    <w:rsid w:val="6F286FD3"/>
    <w:rsid w:val="6F2D1DE0"/>
    <w:rsid w:val="6F2D283B"/>
    <w:rsid w:val="6F375468"/>
    <w:rsid w:val="6F392F8E"/>
    <w:rsid w:val="6F411E43"/>
    <w:rsid w:val="6F437969"/>
    <w:rsid w:val="6F4831D1"/>
    <w:rsid w:val="6F4B2CC1"/>
    <w:rsid w:val="6F4F630E"/>
    <w:rsid w:val="6F5002D8"/>
    <w:rsid w:val="6F541B10"/>
    <w:rsid w:val="6F6124E5"/>
    <w:rsid w:val="6F6137A6"/>
    <w:rsid w:val="6F745D74"/>
    <w:rsid w:val="6F767D3E"/>
    <w:rsid w:val="6F79782E"/>
    <w:rsid w:val="6F885CC3"/>
    <w:rsid w:val="6F92269E"/>
    <w:rsid w:val="6F926B42"/>
    <w:rsid w:val="6F956018"/>
    <w:rsid w:val="6F976B08"/>
    <w:rsid w:val="6F993A2D"/>
    <w:rsid w:val="6F9A5386"/>
    <w:rsid w:val="6F9B379B"/>
    <w:rsid w:val="6F9E54E7"/>
    <w:rsid w:val="6FA10B33"/>
    <w:rsid w:val="6FA10C39"/>
    <w:rsid w:val="6FA348AB"/>
    <w:rsid w:val="6FAC7C04"/>
    <w:rsid w:val="6FAD572A"/>
    <w:rsid w:val="6FBB7E47"/>
    <w:rsid w:val="6FD74555"/>
    <w:rsid w:val="6FE253D4"/>
    <w:rsid w:val="6FF60E7F"/>
    <w:rsid w:val="6FF70194"/>
    <w:rsid w:val="6FF9271D"/>
    <w:rsid w:val="6FFA14F5"/>
    <w:rsid w:val="6FFA2E4B"/>
    <w:rsid w:val="6FFC5590"/>
    <w:rsid w:val="6FFE360F"/>
    <w:rsid w:val="7000585A"/>
    <w:rsid w:val="700417EE"/>
    <w:rsid w:val="700F0193"/>
    <w:rsid w:val="701B2694"/>
    <w:rsid w:val="701B2D0A"/>
    <w:rsid w:val="701D28B0"/>
    <w:rsid w:val="701D640C"/>
    <w:rsid w:val="7023779A"/>
    <w:rsid w:val="702552C0"/>
    <w:rsid w:val="70294DB1"/>
    <w:rsid w:val="702C664F"/>
    <w:rsid w:val="70300426"/>
    <w:rsid w:val="703A5210"/>
    <w:rsid w:val="70422316"/>
    <w:rsid w:val="70433998"/>
    <w:rsid w:val="70441BEA"/>
    <w:rsid w:val="705426F3"/>
    <w:rsid w:val="7055204A"/>
    <w:rsid w:val="705838E8"/>
    <w:rsid w:val="70587444"/>
    <w:rsid w:val="705931BC"/>
    <w:rsid w:val="706109EE"/>
    <w:rsid w:val="70626515"/>
    <w:rsid w:val="70671D7D"/>
    <w:rsid w:val="706D1DD0"/>
    <w:rsid w:val="70726C6C"/>
    <w:rsid w:val="70735633"/>
    <w:rsid w:val="70756248"/>
    <w:rsid w:val="70827584"/>
    <w:rsid w:val="70853FB1"/>
    <w:rsid w:val="70856B87"/>
    <w:rsid w:val="70857DED"/>
    <w:rsid w:val="70877D29"/>
    <w:rsid w:val="7089584F"/>
    <w:rsid w:val="708E2E66"/>
    <w:rsid w:val="708E730A"/>
    <w:rsid w:val="709C192B"/>
    <w:rsid w:val="70A46B2D"/>
    <w:rsid w:val="70AB7EBB"/>
    <w:rsid w:val="70AC7790"/>
    <w:rsid w:val="70AE52B6"/>
    <w:rsid w:val="70C1148D"/>
    <w:rsid w:val="70C25205"/>
    <w:rsid w:val="70C26FB3"/>
    <w:rsid w:val="70C8281B"/>
    <w:rsid w:val="70CB230C"/>
    <w:rsid w:val="70D311C0"/>
    <w:rsid w:val="70D32F6E"/>
    <w:rsid w:val="70D527EE"/>
    <w:rsid w:val="70D70CB1"/>
    <w:rsid w:val="70DC1E23"/>
    <w:rsid w:val="70DD5B9B"/>
    <w:rsid w:val="70DF5DB7"/>
    <w:rsid w:val="70EB02B8"/>
    <w:rsid w:val="70EC5DDE"/>
    <w:rsid w:val="70EE1B56"/>
    <w:rsid w:val="70EE7DA8"/>
    <w:rsid w:val="71033854"/>
    <w:rsid w:val="71044BEF"/>
    <w:rsid w:val="71063344"/>
    <w:rsid w:val="7113780F"/>
    <w:rsid w:val="712437CA"/>
    <w:rsid w:val="712E4649"/>
    <w:rsid w:val="712F289B"/>
    <w:rsid w:val="71333A0D"/>
    <w:rsid w:val="713734FD"/>
    <w:rsid w:val="713D663A"/>
    <w:rsid w:val="713E2ADE"/>
    <w:rsid w:val="713F57D9"/>
    <w:rsid w:val="71431EA2"/>
    <w:rsid w:val="714B0D57"/>
    <w:rsid w:val="714D0F73"/>
    <w:rsid w:val="714D2D21"/>
    <w:rsid w:val="714F6A99"/>
    <w:rsid w:val="715440AF"/>
    <w:rsid w:val="71560C98"/>
    <w:rsid w:val="71566079"/>
    <w:rsid w:val="71573B9F"/>
    <w:rsid w:val="715776FB"/>
    <w:rsid w:val="715A7438"/>
    <w:rsid w:val="715B5300"/>
    <w:rsid w:val="71614A1E"/>
    <w:rsid w:val="71685DAD"/>
    <w:rsid w:val="716D6F1F"/>
    <w:rsid w:val="717A163C"/>
    <w:rsid w:val="717E112C"/>
    <w:rsid w:val="718065CF"/>
    <w:rsid w:val="718F50E7"/>
    <w:rsid w:val="719021E7"/>
    <w:rsid w:val="719646C8"/>
    <w:rsid w:val="719E532A"/>
    <w:rsid w:val="71A36DE5"/>
    <w:rsid w:val="71AA6692"/>
    <w:rsid w:val="71B0505E"/>
    <w:rsid w:val="71B52674"/>
    <w:rsid w:val="71BE3C1E"/>
    <w:rsid w:val="71C11019"/>
    <w:rsid w:val="71C879CA"/>
    <w:rsid w:val="71D05719"/>
    <w:rsid w:val="71D27F8A"/>
    <w:rsid w:val="71D376CA"/>
    <w:rsid w:val="71D46F9E"/>
    <w:rsid w:val="71D5053D"/>
    <w:rsid w:val="71DD22F7"/>
    <w:rsid w:val="71F47640"/>
    <w:rsid w:val="71F72C8D"/>
    <w:rsid w:val="71F87130"/>
    <w:rsid w:val="72021D5D"/>
    <w:rsid w:val="721101F2"/>
    <w:rsid w:val="72330169"/>
    <w:rsid w:val="72345C8F"/>
    <w:rsid w:val="723842A0"/>
    <w:rsid w:val="724265FE"/>
    <w:rsid w:val="72444124"/>
    <w:rsid w:val="724F3294"/>
    <w:rsid w:val="724F4877"/>
    <w:rsid w:val="72553024"/>
    <w:rsid w:val="72587BCF"/>
    <w:rsid w:val="72677E12"/>
    <w:rsid w:val="72695938"/>
    <w:rsid w:val="726A16B0"/>
    <w:rsid w:val="726E11A1"/>
    <w:rsid w:val="727147ED"/>
    <w:rsid w:val="727662A7"/>
    <w:rsid w:val="727F515C"/>
    <w:rsid w:val="728564EA"/>
    <w:rsid w:val="72883477"/>
    <w:rsid w:val="728A3B01"/>
    <w:rsid w:val="728E2F2C"/>
    <w:rsid w:val="72921CB6"/>
    <w:rsid w:val="7296248F"/>
    <w:rsid w:val="729A1F96"/>
    <w:rsid w:val="72A46970"/>
    <w:rsid w:val="72A9536C"/>
    <w:rsid w:val="72AC1CC9"/>
    <w:rsid w:val="72AE3C93"/>
    <w:rsid w:val="72B312A9"/>
    <w:rsid w:val="72B8066E"/>
    <w:rsid w:val="72B8241C"/>
    <w:rsid w:val="72BB3CBA"/>
    <w:rsid w:val="72C9287B"/>
    <w:rsid w:val="72CB03A1"/>
    <w:rsid w:val="72CC4119"/>
    <w:rsid w:val="72D1172F"/>
    <w:rsid w:val="72D336FA"/>
    <w:rsid w:val="72D92D0A"/>
    <w:rsid w:val="72DB610A"/>
    <w:rsid w:val="72DF3E4C"/>
    <w:rsid w:val="72EC6569"/>
    <w:rsid w:val="72F571CC"/>
    <w:rsid w:val="72FC167C"/>
    <w:rsid w:val="72FC49FE"/>
    <w:rsid w:val="73010267"/>
    <w:rsid w:val="73122968"/>
    <w:rsid w:val="73125FD0"/>
    <w:rsid w:val="73165394"/>
    <w:rsid w:val="731743ED"/>
    <w:rsid w:val="731A1328"/>
    <w:rsid w:val="731C61C0"/>
    <w:rsid w:val="731F5D5E"/>
    <w:rsid w:val="7325566E"/>
    <w:rsid w:val="732E26DE"/>
    <w:rsid w:val="733D0B73"/>
    <w:rsid w:val="734B3290"/>
    <w:rsid w:val="735760D9"/>
    <w:rsid w:val="735C549D"/>
    <w:rsid w:val="735E7467"/>
    <w:rsid w:val="73634A7D"/>
    <w:rsid w:val="736810C4"/>
    <w:rsid w:val="736A3DB4"/>
    <w:rsid w:val="736E6F7E"/>
    <w:rsid w:val="73700F48"/>
    <w:rsid w:val="73740A39"/>
    <w:rsid w:val="73741484"/>
    <w:rsid w:val="73836ECE"/>
    <w:rsid w:val="73905147"/>
    <w:rsid w:val="73920EBF"/>
    <w:rsid w:val="73970283"/>
    <w:rsid w:val="73A3438C"/>
    <w:rsid w:val="73B057E9"/>
    <w:rsid w:val="73BC23E0"/>
    <w:rsid w:val="73C179F6"/>
    <w:rsid w:val="73C51AD5"/>
    <w:rsid w:val="73D239B1"/>
    <w:rsid w:val="73D70FC8"/>
    <w:rsid w:val="73DD7FA9"/>
    <w:rsid w:val="73DE2356"/>
    <w:rsid w:val="73E21E46"/>
    <w:rsid w:val="73F456D6"/>
    <w:rsid w:val="73F751C6"/>
    <w:rsid w:val="73F76F74"/>
    <w:rsid w:val="740161D4"/>
    <w:rsid w:val="74035919"/>
    <w:rsid w:val="74082F2F"/>
    <w:rsid w:val="741144D9"/>
    <w:rsid w:val="7419338E"/>
    <w:rsid w:val="741D2E7E"/>
    <w:rsid w:val="741E09A4"/>
    <w:rsid w:val="741E793C"/>
    <w:rsid w:val="74220495"/>
    <w:rsid w:val="7423420D"/>
    <w:rsid w:val="74251D33"/>
    <w:rsid w:val="74257F85"/>
    <w:rsid w:val="742835D1"/>
    <w:rsid w:val="742A7349"/>
    <w:rsid w:val="742D6E39"/>
    <w:rsid w:val="743261FE"/>
    <w:rsid w:val="74346672"/>
    <w:rsid w:val="74393A30"/>
    <w:rsid w:val="7439758C"/>
    <w:rsid w:val="7447614D"/>
    <w:rsid w:val="744A1799"/>
    <w:rsid w:val="744C72C0"/>
    <w:rsid w:val="74534AF2"/>
    <w:rsid w:val="74561EEC"/>
    <w:rsid w:val="745E3944"/>
    <w:rsid w:val="745F3497"/>
    <w:rsid w:val="74624D35"/>
    <w:rsid w:val="74650381"/>
    <w:rsid w:val="747131CA"/>
    <w:rsid w:val="7472484C"/>
    <w:rsid w:val="74746816"/>
    <w:rsid w:val="747B7BA5"/>
    <w:rsid w:val="74842EFD"/>
    <w:rsid w:val="74890514"/>
    <w:rsid w:val="748C1DB2"/>
    <w:rsid w:val="748E5B2A"/>
    <w:rsid w:val="748F3650"/>
    <w:rsid w:val="749649DF"/>
    <w:rsid w:val="7496678D"/>
    <w:rsid w:val="749A44CF"/>
    <w:rsid w:val="749D3FBF"/>
    <w:rsid w:val="74A164A0"/>
    <w:rsid w:val="74A662B1"/>
    <w:rsid w:val="74B03CF2"/>
    <w:rsid w:val="74B84955"/>
    <w:rsid w:val="74C74B98"/>
    <w:rsid w:val="74D13C69"/>
    <w:rsid w:val="74DA2B1D"/>
    <w:rsid w:val="74E7523A"/>
    <w:rsid w:val="74EB4D2A"/>
    <w:rsid w:val="74EB6AD9"/>
    <w:rsid w:val="74EE65C9"/>
    <w:rsid w:val="74FD05BA"/>
    <w:rsid w:val="74FF2584"/>
    <w:rsid w:val="75082E7D"/>
    <w:rsid w:val="75175B20"/>
    <w:rsid w:val="751853F4"/>
    <w:rsid w:val="751D0C5C"/>
    <w:rsid w:val="751F2C26"/>
    <w:rsid w:val="75273889"/>
    <w:rsid w:val="752838C8"/>
    <w:rsid w:val="75322959"/>
    <w:rsid w:val="753D12FE"/>
    <w:rsid w:val="753D30AC"/>
    <w:rsid w:val="754937FF"/>
    <w:rsid w:val="755521A4"/>
    <w:rsid w:val="755539A3"/>
    <w:rsid w:val="755C1784"/>
    <w:rsid w:val="75662603"/>
    <w:rsid w:val="75693EA1"/>
    <w:rsid w:val="75695229"/>
    <w:rsid w:val="756E770A"/>
    <w:rsid w:val="75706FDE"/>
    <w:rsid w:val="75777DB4"/>
    <w:rsid w:val="758331B5"/>
    <w:rsid w:val="75846F2D"/>
    <w:rsid w:val="758807CB"/>
    <w:rsid w:val="75994786"/>
    <w:rsid w:val="759F5C03"/>
    <w:rsid w:val="75BA46FD"/>
    <w:rsid w:val="75BB4292"/>
    <w:rsid w:val="75BE41ED"/>
    <w:rsid w:val="75C94940"/>
    <w:rsid w:val="75D752AF"/>
    <w:rsid w:val="75DA6B4D"/>
    <w:rsid w:val="75DC28C5"/>
    <w:rsid w:val="75E02E27"/>
    <w:rsid w:val="75EA6D90"/>
    <w:rsid w:val="75F06371"/>
    <w:rsid w:val="75F23E97"/>
    <w:rsid w:val="75FB7FE4"/>
    <w:rsid w:val="75FE283B"/>
    <w:rsid w:val="76037E52"/>
    <w:rsid w:val="76067942"/>
    <w:rsid w:val="76164029"/>
    <w:rsid w:val="761738FD"/>
    <w:rsid w:val="761756AB"/>
    <w:rsid w:val="7620086F"/>
    <w:rsid w:val="762A1882"/>
    <w:rsid w:val="7635099D"/>
    <w:rsid w:val="76361FD5"/>
    <w:rsid w:val="764741E2"/>
    <w:rsid w:val="76564426"/>
    <w:rsid w:val="765661D4"/>
    <w:rsid w:val="765B783A"/>
    <w:rsid w:val="765D3A06"/>
    <w:rsid w:val="76634D94"/>
    <w:rsid w:val="76724FD8"/>
    <w:rsid w:val="767B20DE"/>
    <w:rsid w:val="767C19B2"/>
    <w:rsid w:val="76880357"/>
    <w:rsid w:val="768E0063"/>
    <w:rsid w:val="76960CC6"/>
    <w:rsid w:val="769E5DCD"/>
    <w:rsid w:val="76A6375C"/>
    <w:rsid w:val="76A74C81"/>
    <w:rsid w:val="76AA29C3"/>
    <w:rsid w:val="76AA5987"/>
    <w:rsid w:val="76AD7DBE"/>
    <w:rsid w:val="76C23869"/>
    <w:rsid w:val="76C94E50"/>
    <w:rsid w:val="76D8308D"/>
    <w:rsid w:val="76D90BB3"/>
    <w:rsid w:val="76D914DE"/>
    <w:rsid w:val="76D96E05"/>
    <w:rsid w:val="76DB0DCF"/>
    <w:rsid w:val="76DC52E9"/>
    <w:rsid w:val="76E8729E"/>
    <w:rsid w:val="76EC6B38"/>
    <w:rsid w:val="76F44898"/>
    <w:rsid w:val="76F51E90"/>
    <w:rsid w:val="76FE0619"/>
    <w:rsid w:val="770E2F52"/>
    <w:rsid w:val="77107706"/>
    <w:rsid w:val="77140350"/>
    <w:rsid w:val="77163BB5"/>
    <w:rsid w:val="771A18F7"/>
    <w:rsid w:val="771D3195"/>
    <w:rsid w:val="7730111A"/>
    <w:rsid w:val="773109EF"/>
    <w:rsid w:val="773C7ABF"/>
    <w:rsid w:val="77416E84"/>
    <w:rsid w:val="77440722"/>
    <w:rsid w:val="77444BC6"/>
    <w:rsid w:val="77461862"/>
    <w:rsid w:val="77495D38"/>
    <w:rsid w:val="774C75D7"/>
    <w:rsid w:val="775070C7"/>
    <w:rsid w:val="77545A4D"/>
    <w:rsid w:val="7755292F"/>
    <w:rsid w:val="775B5A6C"/>
    <w:rsid w:val="777271A3"/>
    <w:rsid w:val="77762421"/>
    <w:rsid w:val="77876861"/>
    <w:rsid w:val="778E7BEF"/>
    <w:rsid w:val="77933457"/>
    <w:rsid w:val="779E42D6"/>
    <w:rsid w:val="77A71A89"/>
    <w:rsid w:val="77A80CB1"/>
    <w:rsid w:val="77A85155"/>
    <w:rsid w:val="77AE0291"/>
    <w:rsid w:val="77B56B1F"/>
    <w:rsid w:val="77BC29AE"/>
    <w:rsid w:val="77C577DB"/>
    <w:rsid w:val="77D0645A"/>
    <w:rsid w:val="77D5581E"/>
    <w:rsid w:val="77E839E4"/>
    <w:rsid w:val="77E912C9"/>
    <w:rsid w:val="77FC0FFD"/>
    <w:rsid w:val="77FC724F"/>
    <w:rsid w:val="78032380"/>
    <w:rsid w:val="78054355"/>
    <w:rsid w:val="780D320A"/>
    <w:rsid w:val="780F09F4"/>
    <w:rsid w:val="78104AA8"/>
    <w:rsid w:val="78106856"/>
    <w:rsid w:val="78191BAF"/>
    <w:rsid w:val="78212811"/>
    <w:rsid w:val="78236589"/>
    <w:rsid w:val="782567A5"/>
    <w:rsid w:val="78370287"/>
    <w:rsid w:val="783E1615"/>
    <w:rsid w:val="78436C2C"/>
    <w:rsid w:val="78482494"/>
    <w:rsid w:val="785030F6"/>
    <w:rsid w:val="78520C1D"/>
    <w:rsid w:val="78591FAB"/>
    <w:rsid w:val="786077DD"/>
    <w:rsid w:val="7863107C"/>
    <w:rsid w:val="78653DB7"/>
    <w:rsid w:val="786C3B6A"/>
    <w:rsid w:val="78727511"/>
    <w:rsid w:val="78760DAF"/>
    <w:rsid w:val="787B4617"/>
    <w:rsid w:val="787E76C0"/>
    <w:rsid w:val="78852DA0"/>
    <w:rsid w:val="7892370F"/>
    <w:rsid w:val="78992B87"/>
    <w:rsid w:val="78A30A77"/>
    <w:rsid w:val="78A43B6E"/>
    <w:rsid w:val="78A90480"/>
    <w:rsid w:val="78AA0A59"/>
    <w:rsid w:val="78B611AB"/>
    <w:rsid w:val="78B652B1"/>
    <w:rsid w:val="78BB2C66"/>
    <w:rsid w:val="78C04608"/>
    <w:rsid w:val="78C7785D"/>
    <w:rsid w:val="78C963B8"/>
    <w:rsid w:val="78CA2EA9"/>
    <w:rsid w:val="78D21D5D"/>
    <w:rsid w:val="78DD0E2E"/>
    <w:rsid w:val="78E24696"/>
    <w:rsid w:val="78E71CAD"/>
    <w:rsid w:val="78E81581"/>
    <w:rsid w:val="78F9553C"/>
    <w:rsid w:val="78FE5054"/>
    <w:rsid w:val="78FF6FF6"/>
    <w:rsid w:val="79022643"/>
    <w:rsid w:val="79030169"/>
    <w:rsid w:val="790A7749"/>
    <w:rsid w:val="79102923"/>
    <w:rsid w:val="791505C8"/>
    <w:rsid w:val="791800B8"/>
    <w:rsid w:val="791F1447"/>
    <w:rsid w:val="79202AC9"/>
    <w:rsid w:val="79210C44"/>
    <w:rsid w:val="79366790"/>
    <w:rsid w:val="793D367B"/>
    <w:rsid w:val="794013BD"/>
    <w:rsid w:val="79404F19"/>
    <w:rsid w:val="79440EAD"/>
    <w:rsid w:val="79554E68"/>
    <w:rsid w:val="79584959"/>
    <w:rsid w:val="795B7FA5"/>
    <w:rsid w:val="795D1F6F"/>
    <w:rsid w:val="79646E59"/>
    <w:rsid w:val="7967694A"/>
    <w:rsid w:val="79680FA5"/>
    <w:rsid w:val="796D6DEC"/>
    <w:rsid w:val="79716072"/>
    <w:rsid w:val="797D43BF"/>
    <w:rsid w:val="79815C5D"/>
    <w:rsid w:val="798219D5"/>
    <w:rsid w:val="79856DD0"/>
    <w:rsid w:val="79865022"/>
    <w:rsid w:val="7988750B"/>
    <w:rsid w:val="798B088A"/>
    <w:rsid w:val="798B6ADC"/>
    <w:rsid w:val="799E680F"/>
    <w:rsid w:val="79A66D50"/>
    <w:rsid w:val="79A67472"/>
    <w:rsid w:val="79AC0800"/>
    <w:rsid w:val="79AD59A6"/>
    <w:rsid w:val="79B25E17"/>
    <w:rsid w:val="79B50A3B"/>
    <w:rsid w:val="79BD2A0E"/>
    <w:rsid w:val="79C93160"/>
    <w:rsid w:val="79C97604"/>
    <w:rsid w:val="79CC49FF"/>
    <w:rsid w:val="79D044EF"/>
    <w:rsid w:val="79D815F5"/>
    <w:rsid w:val="79EE2BC7"/>
    <w:rsid w:val="79F44681"/>
    <w:rsid w:val="79F53F55"/>
    <w:rsid w:val="79FA77BE"/>
    <w:rsid w:val="79FC52E4"/>
    <w:rsid w:val="79FE72AE"/>
    <w:rsid w:val="7A0348C4"/>
    <w:rsid w:val="7A044199"/>
    <w:rsid w:val="7A122D59"/>
    <w:rsid w:val="7A140880"/>
    <w:rsid w:val="7A2111EE"/>
    <w:rsid w:val="7A2D7B93"/>
    <w:rsid w:val="7A2F56B9"/>
    <w:rsid w:val="7A364017"/>
    <w:rsid w:val="7A3E76AA"/>
    <w:rsid w:val="7A4B1DC7"/>
    <w:rsid w:val="7A5073DE"/>
    <w:rsid w:val="7A557D7A"/>
    <w:rsid w:val="7A5C3FD5"/>
    <w:rsid w:val="7A7E3F4B"/>
    <w:rsid w:val="7A805F15"/>
    <w:rsid w:val="7A8112C6"/>
    <w:rsid w:val="7A8265E1"/>
    <w:rsid w:val="7A8772A3"/>
    <w:rsid w:val="7A8B0D66"/>
    <w:rsid w:val="7A9279F6"/>
    <w:rsid w:val="7A990D85"/>
    <w:rsid w:val="7AA02113"/>
    <w:rsid w:val="7AA5597C"/>
    <w:rsid w:val="7AAC0949"/>
    <w:rsid w:val="7AB160CE"/>
    <w:rsid w:val="7AB931D5"/>
    <w:rsid w:val="7ABE07EB"/>
    <w:rsid w:val="7AC322A6"/>
    <w:rsid w:val="7AC51B7A"/>
    <w:rsid w:val="7AC758F2"/>
    <w:rsid w:val="7AD1051F"/>
    <w:rsid w:val="7AD41DBD"/>
    <w:rsid w:val="7AD93877"/>
    <w:rsid w:val="7ADD3367"/>
    <w:rsid w:val="7AE75F94"/>
    <w:rsid w:val="7AEC35AA"/>
    <w:rsid w:val="7B034450"/>
    <w:rsid w:val="7B05641A"/>
    <w:rsid w:val="7B185CE6"/>
    <w:rsid w:val="7B1D0385"/>
    <w:rsid w:val="7B1D19B6"/>
    <w:rsid w:val="7B1E74DC"/>
    <w:rsid w:val="7B234AF2"/>
    <w:rsid w:val="7B242D44"/>
    <w:rsid w:val="7B2A40D3"/>
    <w:rsid w:val="7B2A5117"/>
    <w:rsid w:val="7B2F3497"/>
    <w:rsid w:val="7B483E51"/>
    <w:rsid w:val="7B4B1FF9"/>
    <w:rsid w:val="7B51340D"/>
    <w:rsid w:val="7B6018A2"/>
    <w:rsid w:val="7B61697D"/>
    <w:rsid w:val="7B643141"/>
    <w:rsid w:val="7B6475E5"/>
    <w:rsid w:val="7B686D42"/>
    <w:rsid w:val="7B6B0973"/>
    <w:rsid w:val="7B7535A0"/>
    <w:rsid w:val="7B7605EC"/>
    <w:rsid w:val="7B841746"/>
    <w:rsid w:val="7B845591"/>
    <w:rsid w:val="7B892BA7"/>
    <w:rsid w:val="7B8C08E9"/>
    <w:rsid w:val="7B9559F0"/>
    <w:rsid w:val="7B98702C"/>
    <w:rsid w:val="7B9A1258"/>
    <w:rsid w:val="7B9A4DB4"/>
    <w:rsid w:val="7B9F23CB"/>
    <w:rsid w:val="7BA2010D"/>
    <w:rsid w:val="7BAA3C71"/>
    <w:rsid w:val="7BB3231A"/>
    <w:rsid w:val="7BB37C24"/>
    <w:rsid w:val="7BBA5457"/>
    <w:rsid w:val="7BD06A28"/>
    <w:rsid w:val="7BD36518"/>
    <w:rsid w:val="7BDA78A7"/>
    <w:rsid w:val="7BF306D3"/>
    <w:rsid w:val="7BFD5343"/>
    <w:rsid w:val="7C0861C2"/>
    <w:rsid w:val="7C0C5586"/>
    <w:rsid w:val="7C1054AD"/>
    <w:rsid w:val="7C113447"/>
    <w:rsid w:val="7C1728A9"/>
    <w:rsid w:val="7C1F175E"/>
    <w:rsid w:val="7C211032"/>
    <w:rsid w:val="7C2A25DC"/>
    <w:rsid w:val="7C301597"/>
    <w:rsid w:val="7C3E1BE4"/>
    <w:rsid w:val="7C3F770A"/>
    <w:rsid w:val="7C5331B5"/>
    <w:rsid w:val="7C686C61"/>
    <w:rsid w:val="7C6B6751"/>
    <w:rsid w:val="7C6C5AC7"/>
    <w:rsid w:val="7C7A6994"/>
    <w:rsid w:val="7C7B135B"/>
    <w:rsid w:val="7C7E0232"/>
    <w:rsid w:val="7C80044E"/>
    <w:rsid w:val="7C871B84"/>
    <w:rsid w:val="7C8810B1"/>
    <w:rsid w:val="7C8B0BA1"/>
    <w:rsid w:val="7C8B294F"/>
    <w:rsid w:val="7C8B770E"/>
    <w:rsid w:val="7C8D66C7"/>
    <w:rsid w:val="7C914409"/>
    <w:rsid w:val="7C945CA8"/>
    <w:rsid w:val="7C9C4B5C"/>
    <w:rsid w:val="7C9E08D4"/>
    <w:rsid w:val="7CA659DB"/>
    <w:rsid w:val="7CA73C2D"/>
    <w:rsid w:val="7CA81753"/>
    <w:rsid w:val="7CB63E70"/>
    <w:rsid w:val="7CB65C1E"/>
    <w:rsid w:val="7CB9078D"/>
    <w:rsid w:val="7CBB1A51"/>
    <w:rsid w:val="7CC145C3"/>
    <w:rsid w:val="7CC6544B"/>
    <w:rsid w:val="7CC7607D"/>
    <w:rsid w:val="7CD267D0"/>
    <w:rsid w:val="7CD51E1C"/>
    <w:rsid w:val="7CD82038"/>
    <w:rsid w:val="7CDC37FD"/>
    <w:rsid w:val="7CE24C65"/>
    <w:rsid w:val="7CE65DD7"/>
    <w:rsid w:val="7CEA1D6C"/>
    <w:rsid w:val="7CEF7382"/>
    <w:rsid w:val="7CF206DC"/>
    <w:rsid w:val="7CF6426C"/>
    <w:rsid w:val="7CFB54F1"/>
    <w:rsid w:val="7CFB7AD5"/>
    <w:rsid w:val="7CFC55FB"/>
    <w:rsid w:val="7CFE1373"/>
    <w:rsid w:val="7D0239FF"/>
    <w:rsid w:val="7D034BDB"/>
    <w:rsid w:val="7D0C7F34"/>
    <w:rsid w:val="7D124E1E"/>
    <w:rsid w:val="7D1F7C67"/>
    <w:rsid w:val="7D2232B3"/>
    <w:rsid w:val="7D23702C"/>
    <w:rsid w:val="7D2A03BA"/>
    <w:rsid w:val="7D2C4132"/>
    <w:rsid w:val="7D2D1C58"/>
    <w:rsid w:val="7D2D3A06"/>
    <w:rsid w:val="7D2F777E"/>
    <w:rsid w:val="7D341239"/>
    <w:rsid w:val="7D3D633F"/>
    <w:rsid w:val="7D3F20B7"/>
    <w:rsid w:val="7D4274B2"/>
    <w:rsid w:val="7D4827CB"/>
    <w:rsid w:val="7D4C6582"/>
    <w:rsid w:val="7D4D5E56"/>
    <w:rsid w:val="7D5E40CD"/>
    <w:rsid w:val="7D625DA6"/>
    <w:rsid w:val="7D641B1E"/>
    <w:rsid w:val="7D665608"/>
    <w:rsid w:val="7D690EE2"/>
    <w:rsid w:val="7D692C90"/>
    <w:rsid w:val="7D6B2EAC"/>
    <w:rsid w:val="7D7D04EA"/>
    <w:rsid w:val="7D80622C"/>
    <w:rsid w:val="7D874512"/>
    <w:rsid w:val="7D8D4AF4"/>
    <w:rsid w:val="7D935F5F"/>
    <w:rsid w:val="7D9B3066"/>
    <w:rsid w:val="7DAA5057"/>
    <w:rsid w:val="7DAC7021"/>
    <w:rsid w:val="7DB859C6"/>
    <w:rsid w:val="7DCC65B2"/>
    <w:rsid w:val="7DCD56F2"/>
    <w:rsid w:val="7DD00F61"/>
    <w:rsid w:val="7DFB58B2"/>
    <w:rsid w:val="7E002EC9"/>
    <w:rsid w:val="7E0135FC"/>
    <w:rsid w:val="7E1370A0"/>
    <w:rsid w:val="7E235E07"/>
    <w:rsid w:val="7E265025"/>
    <w:rsid w:val="7E2929E7"/>
    <w:rsid w:val="7E2B6198"/>
    <w:rsid w:val="7E3A462D"/>
    <w:rsid w:val="7E421268"/>
    <w:rsid w:val="7E424195"/>
    <w:rsid w:val="7E484F9C"/>
    <w:rsid w:val="7E585886"/>
    <w:rsid w:val="7E5E656D"/>
    <w:rsid w:val="7E5E6C64"/>
    <w:rsid w:val="7E5F4093"/>
    <w:rsid w:val="7E633B84"/>
    <w:rsid w:val="7E6A3164"/>
    <w:rsid w:val="7E723DC7"/>
    <w:rsid w:val="7E755665"/>
    <w:rsid w:val="7E7933A7"/>
    <w:rsid w:val="7E834226"/>
    <w:rsid w:val="7E841197"/>
    <w:rsid w:val="7E851D4C"/>
    <w:rsid w:val="7E885398"/>
    <w:rsid w:val="7E941F8F"/>
    <w:rsid w:val="7E990F1E"/>
    <w:rsid w:val="7E9975A5"/>
    <w:rsid w:val="7EA41936"/>
    <w:rsid w:val="7EB268B9"/>
    <w:rsid w:val="7EB51F05"/>
    <w:rsid w:val="7EBB576E"/>
    <w:rsid w:val="7EC24845"/>
    <w:rsid w:val="7EC42148"/>
    <w:rsid w:val="7ED625A7"/>
    <w:rsid w:val="7ED76320"/>
    <w:rsid w:val="7EE03426"/>
    <w:rsid w:val="7EE12CFA"/>
    <w:rsid w:val="7EE34CC4"/>
    <w:rsid w:val="7EE54599"/>
    <w:rsid w:val="7EEB5927"/>
    <w:rsid w:val="7EEF5417"/>
    <w:rsid w:val="7EF50554"/>
    <w:rsid w:val="7EFE565A"/>
    <w:rsid w:val="7F001CE7"/>
    <w:rsid w:val="7F005876"/>
    <w:rsid w:val="7F0569E9"/>
    <w:rsid w:val="7F0D1D41"/>
    <w:rsid w:val="7F126204"/>
    <w:rsid w:val="7F207CC7"/>
    <w:rsid w:val="7F282407"/>
    <w:rsid w:val="7F2D5F40"/>
    <w:rsid w:val="7F427C3D"/>
    <w:rsid w:val="7F477001"/>
    <w:rsid w:val="7F594F87"/>
    <w:rsid w:val="7F5B485B"/>
    <w:rsid w:val="7F606315"/>
    <w:rsid w:val="7F680E86"/>
    <w:rsid w:val="7F761695"/>
    <w:rsid w:val="7F791185"/>
    <w:rsid w:val="7F7F692F"/>
    <w:rsid w:val="7F803FA7"/>
    <w:rsid w:val="7F833DB1"/>
    <w:rsid w:val="7F873D31"/>
    <w:rsid w:val="7F9164CE"/>
    <w:rsid w:val="7F932247"/>
    <w:rsid w:val="7F983D01"/>
    <w:rsid w:val="7F9D1317"/>
    <w:rsid w:val="7F9F508F"/>
    <w:rsid w:val="7FA3596C"/>
    <w:rsid w:val="7FAA57E2"/>
    <w:rsid w:val="7FAC50B6"/>
    <w:rsid w:val="7FAC6129"/>
    <w:rsid w:val="7FAE7080"/>
    <w:rsid w:val="7FB328E9"/>
    <w:rsid w:val="7FB83A5B"/>
    <w:rsid w:val="7FBB354B"/>
    <w:rsid w:val="7FC20D7E"/>
    <w:rsid w:val="7FC35B06"/>
    <w:rsid w:val="7FC5150E"/>
    <w:rsid w:val="7FC5261C"/>
    <w:rsid w:val="7FC53407"/>
    <w:rsid w:val="7FCC7507"/>
    <w:rsid w:val="7FCE327F"/>
    <w:rsid w:val="7FD30895"/>
    <w:rsid w:val="7FD4460D"/>
    <w:rsid w:val="7FDD7966"/>
    <w:rsid w:val="7FE40CF4"/>
    <w:rsid w:val="7FE47E50"/>
    <w:rsid w:val="7FF32CE5"/>
    <w:rsid w:val="7FF52F01"/>
    <w:rsid w:val="7FF61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0" w:semiHidden="0" w:name="heading 3" w:locked="1"/>
    <w:lsdException w:qFormat="1" w:unhideWhenUsed="0" w:uiPriority="0" w:semiHidden="0" w:name="heading 4" w:locked="1"/>
    <w:lsdException w:qFormat="1" w:unhideWhenUsed="0" w:uiPriority="0" w:semiHidden="0" w:name="heading 5" w:locked="1"/>
    <w:lsdException w:qFormat="1" w:unhideWhenUsed="0" w:uiPriority="0" w:semiHidden="0" w:name="heading 6" w:locked="1"/>
    <w:lsdException w:qFormat="1" w:unhideWhenUsed="0" w:uiPriority="0" w:semiHidden="0" w:name="heading 7" w:locked="1"/>
    <w:lsdException w:qFormat="1" w:unhideWhenUsed="0" w:uiPriority="0" w:semiHidden="0" w:name="heading 8" w:locked="1"/>
    <w:lsdException w:qFormat="1" w:unhideWhenUsed="0" w:uiPriority="0" w:semiHidden="0" w:name="heading 9" w:locked="1"/>
    <w:lsdException w:qFormat="1"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qFormat="1" w:unhideWhenUsed="0" w:uiPriority="0" w:semiHidden="0" w:name="toc 9" w:locked="1"/>
    <w:lsdException w:qFormat="1" w:unhideWhenUsed="0" w:uiPriority="0" w:semiHidden="0" w:name="Normal Indent" w:locked="1"/>
    <w:lsdException w:unhideWhenUsed="0" w:uiPriority="0" w:semiHidden="0" w:name="footnote text" w:locked="1"/>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ocked="1"/>
    <w:lsdException w:qFormat="1" w:unhideWhenUsed="0" w:uiPriority="0" w:semiHidden="0" w:name="caption" w:locked="1"/>
    <w:lsdException w:unhideWhenUsed="0" w:uiPriority="0" w:semiHidden="0" w:name="table of figures" w:locked="1"/>
    <w:lsdException w:unhideWhenUsed="0" w:uiPriority="0" w:semiHidden="0" w:name="envelope address" w:locked="1"/>
    <w:lsdException w:unhideWhenUsed="0" w:uiPriority="0" w:semiHidden="0" w:name="envelope return" w:locked="1"/>
    <w:lsdException w:unhideWhenUsed="0" w:uiPriority="0" w:semiHidden="0" w:name="footnote reference" w:locked="1"/>
    <w:lsdException w:qFormat="1" w:unhideWhenUsed="0" w:uiPriority="0" w:semiHidden="0" w:name="annotation reference"/>
    <w:lsdException w:unhideWhenUsed="0" w:uiPriority="0" w:semiHidden="0" w:name="line number" w:locked="1"/>
    <w:lsdException w:qFormat="1" w:unhideWhenUsed="0" w:uiPriority="0" w:semiHidden="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qFormat="1"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qFormat="1" w:unhideWhenUsed="0" w:uiPriority="0" w:semiHidden="0" w:name="Body Text First Indent" w:locked="1"/>
    <w:lsdException w:qFormat="1" w:unhideWhenUsed="0" w:uiPriority="0" w:semiHidden="0" w:name="Body Text First Indent 2" w:locked="1"/>
    <w:lsdException w:unhideWhenUsed="0" w:uiPriority="0" w:semiHidden="0" w:name="Note Heading" w:locked="1"/>
    <w:lsdException w:qFormat="1" w:unhideWhenUsed="0" w:uiPriority="0" w:semiHidden="0" w:name="Body Text 2" w:locked="1"/>
    <w:lsdException w:qFormat="1" w:unhideWhenUsed="0" w:uiPriority="0" w:semiHidden="0" w:name="Body Text 3" w:locked="1"/>
    <w:lsdException w:qFormat="1" w:unhideWhenUsed="0" w:uiPriority="0" w:semiHidden="0" w:name="Body Text Indent 2" w:locked="1"/>
    <w:lsdException w:qFormat="1" w:unhideWhenUsed="0" w:uiPriority="0" w:semiHidden="0" w:name="Body Text Indent 3" w:locked="1"/>
    <w:lsdException w:unhideWhenUsed="0" w:uiPriority="0" w:semiHidden="0" w:name="Block Text" w:locked="1"/>
    <w:lsdException w:qFormat="1" w:unhideWhenUsed="0" w:uiPriority="99" w:semiHidden="0" w:name="Hyperlink" w:locked="1"/>
    <w:lsdException w:unhideWhenUsed="0" w:uiPriority="0" w:semiHidden="0" w:name="FollowedHyperlink" w:locked="1"/>
    <w:lsdException w:qFormat="1" w:unhideWhenUsed="0" w:uiPriority="0" w:semiHidden="0" w:name="Strong" w:locked="1"/>
    <w:lsdException w:qFormat="1" w:unhideWhenUsed="0" w:uiPriority="20" w:semiHidden="0" w:name="Emphasis" w:locked="1"/>
    <w:lsdException w:qFormat="1" w:unhideWhenUsed="0" w:uiPriority="0" w:semiHidden="0" w:name="Document Map" w:locked="1"/>
    <w:lsdException w:qFormat="1" w:unhideWhenUsed="0" w:uiPriority="0" w:semiHidden="0" w:name="Plain Text" w:locked="1"/>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qFormat="1"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qFormat="1" w:unhideWhenUsed="0" w:uiPriority="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semiHidden="0" w:name="Balloon Text"/>
    <w:lsdException w:qFormat="1" w:unhideWhenUsed="0" w:uiPriority="99" w:semiHidden="0" w:name="Table Grid"/>
    <w:lsdException w:qFormat="1"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autoRedefine/>
    <w:qFormat/>
    <w:locked/>
    <w:uiPriority w:val="0"/>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3">
    <w:name w:val="heading 2"/>
    <w:basedOn w:val="1"/>
    <w:next w:val="1"/>
    <w:link w:val="46"/>
    <w:autoRedefine/>
    <w:qFormat/>
    <w:locked/>
    <w:uiPriority w:val="0"/>
    <w:pPr>
      <w:keepNext/>
      <w:keepLines/>
      <w:spacing w:before="260" w:after="260" w:line="416" w:lineRule="auto"/>
      <w:outlineLvl w:val="1"/>
    </w:pPr>
    <w:rPr>
      <w:rFonts w:eastAsia="仿宋_GB2312"/>
      <w:b/>
      <w:bCs/>
      <w:sz w:val="28"/>
      <w:szCs w:val="32"/>
    </w:rPr>
  </w:style>
  <w:style w:type="paragraph" w:styleId="4">
    <w:name w:val="heading 3"/>
    <w:basedOn w:val="1"/>
    <w:next w:val="1"/>
    <w:link w:val="47"/>
    <w:autoRedefine/>
    <w:qFormat/>
    <w:locked/>
    <w:uiPriority w:val="0"/>
    <w:pPr>
      <w:keepNext/>
      <w:keepLines/>
      <w:spacing w:before="260" w:after="260" w:line="416" w:lineRule="auto"/>
      <w:outlineLvl w:val="2"/>
    </w:pPr>
    <w:rPr>
      <w:b/>
      <w:bCs/>
      <w:sz w:val="32"/>
      <w:szCs w:val="32"/>
    </w:rPr>
  </w:style>
  <w:style w:type="paragraph" w:styleId="5">
    <w:name w:val="heading 4"/>
    <w:basedOn w:val="1"/>
    <w:next w:val="1"/>
    <w:link w:val="48"/>
    <w:autoRedefine/>
    <w:qFormat/>
    <w:locked/>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9"/>
    <w:autoRedefine/>
    <w:qFormat/>
    <w:locked/>
    <w:uiPriority w:val="0"/>
    <w:pPr>
      <w:keepNext/>
      <w:keepLines/>
      <w:spacing w:before="280" w:after="290" w:line="376" w:lineRule="auto"/>
      <w:outlineLvl w:val="4"/>
    </w:pPr>
    <w:rPr>
      <w:b/>
      <w:bCs/>
      <w:sz w:val="28"/>
      <w:szCs w:val="28"/>
    </w:rPr>
  </w:style>
  <w:style w:type="paragraph" w:styleId="7">
    <w:name w:val="heading 6"/>
    <w:basedOn w:val="1"/>
    <w:next w:val="1"/>
    <w:link w:val="50"/>
    <w:autoRedefine/>
    <w:qFormat/>
    <w:locked/>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51"/>
    <w:autoRedefine/>
    <w:qFormat/>
    <w:locked/>
    <w:uiPriority w:val="0"/>
    <w:pPr>
      <w:keepNext/>
      <w:keepLines/>
      <w:spacing w:before="240" w:after="64" w:line="320" w:lineRule="auto"/>
      <w:outlineLvl w:val="6"/>
    </w:pPr>
    <w:rPr>
      <w:b/>
      <w:bCs/>
      <w:sz w:val="24"/>
    </w:rPr>
  </w:style>
  <w:style w:type="paragraph" w:styleId="9">
    <w:name w:val="heading 8"/>
    <w:basedOn w:val="1"/>
    <w:next w:val="1"/>
    <w:link w:val="52"/>
    <w:autoRedefine/>
    <w:qFormat/>
    <w:locked/>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53"/>
    <w:autoRedefine/>
    <w:qFormat/>
    <w:locked/>
    <w:uiPriority w:val="0"/>
    <w:pPr>
      <w:keepNext/>
      <w:keepLines/>
      <w:spacing w:before="240" w:after="64" w:line="320" w:lineRule="auto"/>
      <w:outlineLvl w:val="8"/>
    </w:pPr>
    <w:rPr>
      <w:rFonts w:ascii="Arial" w:hAnsi="Arial" w:eastAsia="黑体"/>
      <w:szCs w:val="21"/>
    </w:rPr>
  </w:style>
  <w:style w:type="character" w:default="1" w:styleId="39">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link w:val="54"/>
    <w:autoRedefine/>
    <w:qFormat/>
    <w:locked/>
    <w:uiPriority w:val="0"/>
    <w:pPr>
      <w:ind w:firstLine="200" w:firstLineChars="200"/>
    </w:pPr>
    <w:rPr>
      <w:sz w:val="28"/>
    </w:rPr>
  </w:style>
  <w:style w:type="paragraph" w:styleId="12">
    <w:name w:val="caption"/>
    <w:basedOn w:val="1"/>
    <w:next w:val="1"/>
    <w:link w:val="55"/>
    <w:autoRedefine/>
    <w:qFormat/>
    <w:locked/>
    <w:uiPriority w:val="0"/>
    <w:pPr>
      <w:jc w:val="center"/>
    </w:pPr>
    <w:rPr>
      <w:rFonts w:eastAsia="仿宋_GB2312"/>
      <w:b/>
      <w:kern w:val="0"/>
      <w:sz w:val="24"/>
      <w:szCs w:val="20"/>
    </w:rPr>
  </w:style>
  <w:style w:type="paragraph" w:styleId="13">
    <w:name w:val="Document Map"/>
    <w:basedOn w:val="1"/>
    <w:link w:val="56"/>
    <w:autoRedefine/>
    <w:qFormat/>
    <w:locked/>
    <w:uiPriority w:val="0"/>
    <w:pPr>
      <w:shd w:val="clear" w:color="auto" w:fill="000080"/>
    </w:pPr>
    <w:rPr>
      <w:szCs w:val="20"/>
    </w:rPr>
  </w:style>
  <w:style w:type="paragraph" w:styleId="14">
    <w:name w:val="annotation text"/>
    <w:basedOn w:val="1"/>
    <w:link w:val="57"/>
    <w:autoRedefine/>
    <w:qFormat/>
    <w:uiPriority w:val="0"/>
    <w:pPr>
      <w:jc w:val="left"/>
    </w:pPr>
    <w:rPr>
      <w:kern w:val="0"/>
      <w:sz w:val="24"/>
      <w:szCs w:val="20"/>
    </w:rPr>
  </w:style>
  <w:style w:type="paragraph" w:styleId="15">
    <w:name w:val="Body Text 3"/>
    <w:basedOn w:val="1"/>
    <w:link w:val="58"/>
    <w:autoRedefine/>
    <w:qFormat/>
    <w:locked/>
    <w:uiPriority w:val="0"/>
    <w:rPr>
      <w:rFonts w:ascii="宋体"/>
      <w:szCs w:val="20"/>
    </w:rPr>
  </w:style>
  <w:style w:type="paragraph" w:styleId="16">
    <w:name w:val="Body Text"/>
    <w:basedOn w:val="1"/>
    <w:next w:val="17"/>
    <w:link w:val="59"/>
    <w:autoRedefine/>
    <w:qFormat/>
    <w:uiPriority w:val="0"/>
    <w:pPr>
      <w:widowControl/>
      <w:snapToGrid w:val="0"/>
      <w:spacing w:before="60" w:after="160" w:line="259" w:lineRule="auto"/>
      <w:ind w:right="113"/>
    </w:pPr>
    <w:rPr>
      <w:kern w:val="0"/>
      <w:sz w:val="18"/>
      <w:szCs w:val="20"/>
    </w:rPr>
  </w:style>
  <w:style w:type="paragraph" w:styleId="17">
    <w:name w:val="List Bullet 5"/>
    <w:basedOn w:val="1"/>
    <w:autoRedefine/>
    <w:qFormat/>
    <w:locked/>
    <w:uiPriority w:val="0"/>
    <w:pPr>
      <w:numPr>
        <w:ilvl w:val="0"/>
        <w:numId w:val="1"/>
      </w:numPr>
    </w:pPr>
  </w:style>
  <w:style w:type="paragraph" w:styleId="18">
    <w:name w:val="Body Text Indent"/>
    <w:basedOn w:val="1"/>
    <w:link w:val="60"/>
    <w:autoRedefine/>
    <w:qFormat/>
    <w:uiPriority w:val="0"/>
    <w:pPr>
      <w:spacing w:after="120"/>
      <w:ind w:left="420" w:leftChars="200"/>
    </w:pPr>
    <w:rPr>
      <w:kern w:val="0"/>
      <w:sz w:val="24"/>
      <w:szCs w:val="20"/>
    </w:rPr>
  </w:style>
  <w:style w:type="paragraph" w:styleId="19">
    <w:name w:val="Plain Text"/>
    <w:basedOn w:val="1"/>
    <w:link w:val="61"/>
    <w:autoRedefine/>
    <w:qFormat/>
    <w:locked/>
    <w:uiPriority w:val="0"/>
    <w:rPr>
      <w:rFonts w:ascii="宋体" w:hAnsi="Courier New"/>
      <w:sz w:val="20"/>
      <w:szCs w:val="20"/>
    </w:rPr>
  </w:style>
  <w:style w:type="paragraph" w:styleId="20">
    <w:name w:val="Date"/>
    <w:basedOn w:val="1"/>
    <w:next w:val="1"/>
    <w:link w:val="62"/>
    <w:autoRedefine/>
    <w:qFormat/>
    <w:uiPriority w:val="0"/>
    <w:pPr>
      <w:ind w:left="100" w:leftChars="2500"/>
    </w:pPr>
    <w:rPr>
      <w:kern w:val="0"/>
      <w:sz w:val="24"/>
      <w:szCs w:val="20"/>
    </w:rPr>
  </w:style>
  <w:style w:type="paragraph" w:styleId="21">
    <w:name w:val="Body Text Indent 2"/>
    <w:basedOn w:val="1"/>
    <w:link w:val="63"/>
    <w:autoRedefine/>
    <w:qFormat/>
    <w:locked/>
    <w:uiPriority w:val="0"/>
    <w:pPr>
      <w:spacing w:line="360" w:lineRule="auto"/>
      <w:ind w:firstLine="480" w:firstLineChars="200"/>
    </w:pPr>
    <w:rPr>
      <w:color w:val="000000"/>
      <w:sz w:val="24"/>
      <w:szCs w:val="20"/>
    </w:rPr>
  </w:style>
  <w:style w:type="paragraph" w:styleId="22">
    <w:name w:val="Balloon Text"/>
    <w:basedOn w:val="1"/>
    <w:link w:val="64"/>
    <w:autoRedefine/>
    <w:qFormat/>
    <w:uiPriority w:val="99"/>
    <w:rPr>
      <w:kern w:val="0"/>
      <w:sz w:val="18"/>
      <w:szCs w:val="20"/>
    </w:rPr>
  </w:style>
  <w:style w:type="paragraph" w:styleId="23">
    <w:name w:val="footer"/>
    <w:basedOn w:val="1"/>
    <w:link w:val="65"/>
    <w:autoRedefine/>
    <w:qFormat/>
    <w:uiPriority w:val="99"/>
    <w:pPr>
      <w:tabs>
        <w:tab w:val="center" w:pos="4153"/>
        <w:tab w:val="right" w:pos="8306"/>
      </w:tabs>
      <w:snapToGrid w:val="0"/>
      <w:jc w:val="left"/>
    </w:pPr>
    <w:rPr>
      <w:kern w:val="0"/>
      <w:sz w:val="18"/>
      <w:szCs w:val="20"/>
    </w:rPr>
  </w:style>
  <w:style w:type="paragraph" w:styleId="24">
    <w:name w:val="header"/>
    <w:basedOn w:val="1"/>
    <w:link w:val="66"/>
    <w:autoRedefine/>
    <w:qFormat/>
    <w:uiPriority w:val="99"/>
    <w:pPr>
      <w:pBdr>
        <w:bottom w:val="single" w:color="auto" w:sz="6" w:space="1"/>
      </w:pBdr>
      <w:tabs>
        <w:tab w:val="center" w:pos="4153"/>
        <w:tab w:val="right" w:pos="8306"/>
      </w:tabs>
      <w:snapToGrid w:val="0"/>
      <w:jc w:val="center"/>
    </w:pPr>
    <w:rPr>
      <w:kern w:val="0"/>
      <w:sz w:val="18"/>
      <w:szCs w:val="20"/>
    </w:rPr>
  </w:style>
  <w:style w:type="paragraph" w:styleId="25">
    <w:name w:val="index heading"/>
    <w:basedOn w:val="1"/>
    <w:next w:val="26"/>
    <w:autoRedefine/>
    <w:qFormat/>
    <w:locked/>
    <w:uiPriority w:val="0"/>
    <w:rPr>
      <w:szCs w:val="20"/>
    </w:rPr>
  </w:style>
  <w:style w:type="paragraph" w:styleId="26">
    <w:name w:val="index 1"/>
    <w:basedOn w:val="1"/>
    <w:next w:val="1"/>
    <w:autoRedefine/>
    <w:qFormat/>
    <w:locked/>
    <w:uiPriority w:val="0"/>
    <w:pPr>
      <w:jc w:val="center"/>
    </w:pPr>
    <w:rPr>
      <w:szCs w:val="20"/>
    </w:rPr>
  </w:style>
  <w:style w:type="paragraph" w:styleId="27">
    <w:name w:val="List"/>
    <w:basedOn w:val="1"/>
    <w:autoRedefine/>
    <w:qFormat/>
    <w:locked/>
    <w:uiPriority w:val="0"/>
    <w:pPr>
      <w:ind w:left="200" w:hanging="200" w:hangingChars="200"/>
    </w:pPr>
    <w:rPr>
      <w:szCs w:val="20"/>
    </w:rPr>
  </w:style>
  <w:style w:type="paragraph" w:styleId="28">
    <w:name w:val="Body Text Indent 3"/>
    <w:basedOn w:val="1"/>
    <w:link w:val="67"/>
    <w:autoRedefine/>
    <w:qFormat/>
    <w:locked/>
    <w:uiPriority w:val="0"/>
    <w:pPr>
      <w:tabs>
        <w:tab w:val="left" w:pos="604"/>
      </w:tabs>
      <w:spacing w:line="360" w:lineRule="auto"/>
      <w:ind w:firstLine="600"/>
    </w:pPr>
    <w:rPr>
      <w:sz w:val="24"/>
    </w:rPr>
  </w:style>
  <w:style w:type="paragraph" w:styleId="29">
    <w:name w:val="toc 9"/>
    <w:basedOn w:val="1"/>
    <w:next w:val="1"/>
    <w:autoRedefine/>
    <w:qFormat/>
    <w:locked/>
    <w:uiPriority w:val="0"/>
    <w:pPr>
      <w:widowControl/>
      <w:wordWrap w:val="0"/>
      <w:ind w:left="2975"/>
    </w:pPr>
    <w:rPr>
      <w:szCs w:val="22"/>
    </w:rPr>
  </w:style>
  <w:style w:type="paragraph" w:styleId="30">
    <w:name w:val="Body Text 2"/>
    <w:basedOn w:val="1"/>
    <w:link w:val="68"/>
    <w:autoRedefine/>
    <w:qFormat/>
    <w:locked/>
    <w:uiPriority w:val="0"/>
    <w:rPr>
      <w:b/>
      <w:bCs/>
      <w:sz w:val="24"/>
      <w:szCs w:val="20"/>
    </w:rPr>
  </w:style>
  <w:style w:type="paragraph" w:styleId="31">
    <w:name w:val="HTML Preformatted"/>
    <w:basedOn w:val="1"/>
    <w:link w:val="69"/>
    <w:autoRedefine/>
    <w:qFormat/>
    <w:locked/>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2">
    <w:name w:val="Normal (Web)"/>
    <w:basedOn w:val="1"/>
    <w:link w:val="70"/>
    <w:autoRedefine/>
    <w:qFormat/>
    <w:uiPriority w:val="99"/>
    <w:pPr>
      <w:widowControl/>
      <w:spacing w:before="100" w:beforeAutospacing="1" w:after="100" w:afterAutospacing="1"/>
      <w:jc w:val="left"/>
    </w:pPr>
    <w:rPr>
      <w:rFonts w:ascii="宋体" w:hAnsi="宋体"/>
      <w:kern w:val="0"/>
      <w:sz w:val="24"/>
      <w:szCs w:val="20"/>
    </w:rPr>
  </w:style>
  <w:style w:type="paragraph" w:styleId="33">
    <w:name w:val="annotation subject"/>
    <w:basedOn w:val="14"/>
    <w:next w:val="14"/>
    <w:link w:val="71"/>
    <w:autoRedefine/>
    <w:semiHidden/>
    <w:qFormat/>
    <w:uiPriority w:val="0"/>
    <w:rPr>
      <w:b/>
    </w:rPr>
  </w:style>
  <w:style w:type="paragraph" w:styleId="34">
    <w:name w:val="Body Text First Indent"/>
    <w:basedOn w:val="16"/>
    <w:link w:val="72"/>
    <w:autoRedefine/>
    <w:qFormat/>
    <w:locked/>
    <w:uiPriority w:val="0"/>
    <w:pPr>
      <w:widowControl w:val="0"/>
      <w:snapToGrid/>
      <w:spacing w:before="0" w:after="120" w:line="240" w:lineRule="auto"/>
      <w:ind w:right="0" w:firstLine="100" w:firstLineChars="100"/>
    </w:pPr>
    <w:rPr>
      <w:kern w:val="2"/>
      <w:sz w:val="21"/>
    </w:rPr>
  </w:style>
  <w:style w:type="paragraph" w:styleId="35">
    <w:name w:val="Body Text First Indent 2"/>
    <w:basedOn w:val="18"/>
    <w:next w:val="1"/>
    <w:autoRedefine/>
    <w:qFormat/>
    <w:locked/>
    <w:uiPriority w:val="0"/>
    <w:pPr>
      <w:ind w:firstLine="420" w:firstLineChars="200"/>
    </w:pPr>
    <w:rPr>
      <w:kern w:val="2"/>
      <w:sz w:val="21"/>
      <w:szCs w:val="24"/>
    </w:rPr>
  </w:style>
  <w:style w:type="table" w:styleId="37">
    <w:name w:val="Table Grid"/>
    <w:basedOn w:val="36"/>
    <w:autoRedefine/>
    <w:qFormat/>
    <w:uiPriority w:val="99"/>
    <w:pPr>
      <w:jc w:val="center"/>
    </w:pPr>
    <w:rPr>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vAlign w:val="center"/>
    </w:tcPr>
  </w:style>
  <w:style w:type="table" w:styleId="38">
    <w:name w:val="Table Theme"/>
    <w:basedOn w:val="36"/>
    <w:autoRedefine/>
    <w:qFormat/>
    <w:locked/>
    <w:uiPriority w:val="0"/>
    <w:pPr>
      <w:widowControl w:val="0"/>
      <w:jc w:val="center"/>
    </w:pPr>
    <w:rPr>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vAlign w:val="center"/>
    </w:tcPr>
  </w:style>
  <w:style w:type="character" w:styleId="40">
    <w:name w:val="Strong"/>
    <w:autoRedefine/>
    <w:qFormat/>
    <w:locked/>
    <w:uiPriority w:val="0"/>
    <w:rPr>
      <w:b/>
      <w:bCs/>
    </w:rPr>
  </w:style>
  <w:style w:type="character" w:styleId="41">
    <w:name w:val="page number"/>
    <w:autoRedefine/>
    <w:qFormat/>
    <w:locked/>
    <w:uiPriority w:val="0"/>
  </w:style>
  <w:style w:type="character" w:styleId="42">
    <w:name w:val="Emphasis"/>
    <w:autoRedefine/>
    <w:qFormat/>
    <w:locked/>
    <w:uiPriority w:val="20"/>
    <w:rPr>
      <w:i/>
      <w:iCs/>
    </w:rPr>
  </w:style>
  <w:style w:type="character" w:styleId="43">
    <w:name w:val="Hyperlink"/>
    <w:autoRedefine/>
    <w:qFormat/>
    <w:locked/>
    <w:uiPriority w:val="99"/>
    <w:rPr>
      <w:color w:val="3366CC"/>
      <w:u w:val="single"/>
    </w:rPr>
  </w:style>
  <w:style w:type="character" w:styleId="44">
    <w:name w:val="annotation reference"/>
    <w:autoRedefine/>
    <w:qFormat/>
    <w:uiPriority w:val="0"/>
    <w:rPr>
      <w:sz w:val="21"/>
    </w:rPr>
  </w:style>
  <w:style w:type="character" w:customStyle="1" w:styleId="45">
    <w:name w:val="标题 1 Char"/>
    <w:link w:val="2"/>
    <w:autoRedefine/>
    <w:qFormat/>
    <w:uiPriority w:val="0"/>
    <w:rPr>
      <w:rFonts w:eastAsia="黑体"/>
      <w:b/>
      <w:bCs/>
      <w:color w:val="000000"/>
      <w:kern w:val="44"/>
      <w:sz w:val="30"/>
      <w:szCs w:val="30"/>
    </w:rPr>
  </w:style>
  <w:style w:type="character" w:customStyle="1" w:styleId="46">
    <w:name w:val="标题 2 Char"/>
    <w:link w:val="3"/>
    <w:autoRedefine/>
    <w:qFormat/>
    <w:uiPriority w:val="0"/>
    <w:rPr>
      <w:rFonts w:eastAsia="仿宋_GB2312"/>
      <w:b/>
      <w:bCs/>
      <w:kern w:val="2"/>
      <w:sz w:val="28"/>
      <w:szCs w:val="32"/>
    </w:rPr>
  </w:style>
  <w:style w:type="character" w:customStyle="1" w:styleId="47">
    <w:name w:val="标题 3 Char"/>
    <w:link w:val="4"/>
    <w:autoRedefine/>
    <w:qFormat/>
    <w:uiPriority w:val="0"/>
    <w:rPr>
      <w:b/>
      <w:bCs/>
      <w:kern w:val="2"/>
      <w:sz w:val="32"/>
      <w:szCs w:val="32"/>
    </w:rPr>
  </w:style>
  <w:style w:type="character" w:customStyle="1" w:styleId="48">
    <w:name w:val="标题 4 Char"/>
    <w:link w:val="5"/>
    <w:autoRedefine/>
    <w:qFormat/>
    <w:uiPriority w:val="0"/>
    <w:rPr>
      <w:rFonts w:ascii="Arial" w:hAnsi="Arial" w:eastAsia="黑体"/>
      <w:b/>
      <w:bCs/>
      <w:kern w:val="2"/>
      <w:sz w:val="28"/>
      <w:szCs w:val="28"/>
    </w:rPr>
  </w:style>
  <w:style w:type="character" w:customStyle="1" w:styleId="49">
    <w:name w:val="标题 5 Char"/>
    <w:link w:val="6"/>
    <w:autoRedefine/>
    <w:qFormat/>
    <w:uiPriority w:val="0"/>
    <w:rPr>
      <w:b/>
      <w:bCs/>
      <w:kern w:val="2"/>
      <w:sz w:val="28"/>
      <w:szCs w:val="28"/>
    </w:rPr>
  </w:style>
  <w:style w:type="character" w:customStyle="1" w:styleId="50">
    <w:name w:val="标题 6 Char"/>
    <w:link w:val="7"/>
    <w:autoRedefine/>
    <w:qFormat/>
    <w:uiPriority w:val="0"/>
    <w:rPr>
      <w:rFonts w:ascii="Arial" w:hAnsi="Arial" w:eastAsia="黑体"/>
      <w:b/>
      <w:bCs/>
      <w:kern w:val="2"/>
      <w:sz w:val="24"/>
      <w:szCs w:val="24"/>
    </w:rPr>
  </w:style>
  <w:style w:type="character" w:customStyle="1" w:styleId="51">
    <w:name w:val="标题 7 Char"/>
    <w:link w:val="8"/>
    <w:autoRedefine/>
    <w:qFormat/>
    <w:uiPriority w:val="0"/>
    <w:rPr>
      <w:b/>
      <w:bCs/>
      <w:kern w:val="2"/>
      <w:sz w:val="24"/>
      <w:szCs w:val="24"/>
    </w:rPr>
  </w:style>
  <w:style w:type="character" w:customStyle="1" w:styleId="52">
    <w:name w:val="标题 8 Char"/>
    <w:link w:val="9"/>
    <w:autoRedefine/>
    <w:qFormat/>
    <w:uiPriority w:val="0"/>
    <w:rPr>
      <w:rFonts w:ascii="Arial" w:hAnsi="Arial" w:eastAsia="黑体"/>
      <w:kern w:val="2"/>
      <w:sz w:val="24"/>
      <w:szCs w:val="24"/>
    </w:rPr>
  </w:style>
  <w:style w:type="character" w:customStyle="1" w:styleId="53">
    <w:name w:val="标题 9 Char"/>
    <w:link w:val="10"/>
    <w:autoRedefine/>
    <w:qFormat/>
    <w:uiPriority w:val="0"/>
    <w:rPr>
      <w:rFonts w:ascii="Arial" w:hAnsi="Arial" w:eastAsia="黑体"/>
      <w:kern w:val="2"/>
      <w:sz w:val="21"/>
      <w:szCs w:val="21"/>
    </w:rPr>
  </w:style>
  <w:style w:type="character" w:customStyle="1" w:styleId="54">
    <w:name w:val="正文缩进 Char"/>
    <w:link w:val="11"/>
    <w:autoRedefine/>
    <w:qFormat/>
    <w:uiPriority w:val="0"/>
    <w:rPr>
      <w:kern w:val="2"/>
      <w:sz w:val="28"/>
      <w:szCs w:val="24"/>
    </w:rPr>
  </w:style>
  <w:style w:type="character" w:customStyle="1" w:styleId="55">
    <w:name w:val="题注 Char"/>
    <w:link w:val="12"/>
    <w:autoRedefine/>
    <w:qFormat/>
    <w:uiPriority w:val="0"/>
    <w:rPr>
      <w:rFonts w:eastAsia="仿宋_GB2312"/>
      <w:b/>
      <w:sz w:val="24"/>
    </w:rPr>
  </w:style>
  <w:style w:type="character" w:customStyle="1" w:styleId="56">
    <w:name w:val="文档结构图 Char"/>
    <w:link w:val="13"/>
    <w:autoRedefine/>
    <w:qFormat/>
    <w:uiPriority w:val="0"/>
    <w:rPr>
      <w:kern w:val="2"/>
      <w:sz w:val="21"/>
      <w:shd w:val="clear" w:color="auto" w:fill="000080"/>
    </w:rPr>
  </w:style>
  <w:style w:type="character" w:customStyle="1" w:styleId="57">
    <w:name w:val="批注文字 Char1"/>
    <w:link w:val="14"/>
    <w:autoRedefine/>
    <w:qFormat/>
    <w:locked/>
    <w:uiPriority w:val="0"/>
    <w:rPr>
      <w:rFonts w:ascii="Times New Roman" w:hAnsi="Times New Roman" w:eastAsia="宋体"/>
      <w:sz w:val="24"/>
    </w:rPr>
  </w:style>
  <w:style w:type="character" w:customStyle="1" w:styleId="58">
    <w:name w:val="正文文本 3 Char"/>
    <w:link w:val="15"/>
    <w:autoRedefine/>
    <w:qFormat/>
    <w:uiPriority w:val="0"/>
    <w:rPr>
      <w:rFonts w:ascii="宋体"/>
      <w:kern w:val="2"/>
      <w:sz w:val="21"/>
    </w:rPr>
  </w:style>
  <w:style w:type="character" w:customStyle="1" w:styleId="59">
    <w:name w:val="正文文本 Char1"/>
    <w:link w:val="16"/>
    <w:autoRedefine/>
    <w:qFormat/>
    <w:locked/>
    <w:uiPriority w:val="0"/>
    <w:rPr>
      <w:sz w:val="18"/>
    </w:rPr>
  </w:style>
  <w:style w:type="character" w:customStyle="1" w:styleId="60">
    <w:name w:val="正文文本缩进 Char1"/>
    <w:link w:val="18"/>
    <w:autoRedefine/>
    <w:semiHidden/>
    <w:qFormat/>
    <w:locked/>
    <w:uiPriority w:val="0"/>
    <w:rPr>
      <w:rFonts w:ascii="Times New Roman" w:hAnsi="Times New Roman" w:eastAsia="宋体"/>
      <w:sz w:val="24"/>
    </w:rPr>
  </w:style>
  <w:style w:type="character" w:customStyle="1" w:styleId="61">
    <w:name w:val="纯文本 Char"/>
    <w:link w:val="19"/>
    <w:autoRedefine/>
    <w:qFormat/>
    <w:uiPriority w:val="0"/>
    <w:rPr>
      <w:rFonts w:ascii="宋体" w:hAnsi="Courier New"/>
      <w:kern w:val="2"/>
    </w:rPr>
  </w:style>
  <w:style w:type="character" w:customStyle="1" w:styleId="62">
    <w:name w:val="日期 Char"/>
    <w:link w:val="20"/>
    <w:autoRedefine/>
    <w:qFormat/>
    <w:locked/>
    <w:uiPriority w:val="0"/>
    <w:rPr>
      <w:rFonts w:ascii="Times New Roman" w:hAnsi="Times New Roman" w:eastAsia="宋体"/>
      <w:sz w:val="24"/>
    </w:rPr>
  </w:style>
  <w:style w:type="character" w:customStyle="1" w:styleId="63">
    <w:name w:val="正文文本缩进 2 Char"/>
    <w:link w:val="21"/>
    <w:autoRedefine/>
    <w:qFormat/>
    <w:uiPriority w:val="0"/>
    <w:rPr>
      <w:color w:val="000000"/>
      <w:kern w:val="2"/>
      <w:sz w:val="24"/>
    </w:rPr>
  </w:style>
  <w:style w:type="character" w:customStyle="1" w:styleId="64">
    <w:name w:val="批注框文本 Char1"/>
    <w:link w:val="22"/>
    <w:autoRedefine/>
    <w:semiHidden/>
    <w:qFormat/>
    <w:locked/>
    <w:uiPriority w:val="0"/>
    <w:rPr>
      <w:rFonts w:ascii="Times New Roman" w:hAnsi="Times New Roman" w:eastAsia="宋体"/>
      <w:sz w:val="18"/>
    </w:rPr>
  </w:style>
  <w:style w:type="character" w:customStyle="1" w:styleId="65">
    <w:name w:val="页脚 Char1"/>
    <w:link w:val="23"/>
    <w:autoRedefine/>
    <w:qFormat/>
    <w:locked/>
    <w:uiPriority w:val="99"/>
    <w:rPr>
      <w:sz w:val="18"/>
    </w:rPr>
  </w:style>
  <w:style w:type="character" w:customStyle="1" w:styleId="66">
    <w:name w:val="页眉 Char1"/>
    <w:link w:val="24"/>
    <w:autoRedefine/>
    <w:qFormat/>
    <w:locked/>
    <w:uiPriority w:val="0"/>
    <w:rPr>
      <w:sz w:val="18"/>
    </w:rPr>
  </w:style>
  <w:style w:type="character" w:customStyle="1" w:styleId="67">
    <w:name w:val="正文文本缩进 3 Char"/>
    <w:link w:val="28"/>
    <w:autoRedefine/>
    <w:qFormat/>
    <w:uiPriority w:val="0"/>
    <w:rPr>
      <w:kern w:val="2"/>
      <w:sz w:val="24"/>
      <w:szCs w:val="24"/>
    </w:rPr>
  </w:style>
  <w:style w:type="character" w:customStyle="1" w:styleId="68">
    <w:name w:val="正文文本 2 Char"/>
    <w:link w:val="30"/>
    <w:autoRedefine/>
    <w:qFormat/>
    <w:uiPriority w:val="0"/>
    <w:rPr>
      <w:b/>
      <w:bCs/>
      <w:kern w:val="2"/>
      <w:sz w:val="24"/>
    </w:rPr>
  </w:style>
  <w:style w:type="character" w:customStyle="1" w:styleId="69">
    <w:name w:val="HTML 预设格式 Char1"/>
    <w:link w:val="31"/>
    <w:autoRedefine/>
    <w:qFormat/>
    <w:uiPriority w:val="0"/>
    <w:rPr>
      <w:rFonts w:ascii="宋体" w:hAnsi="宋体" w:cs="宋体"/>
      <w:sz w:val="24"/>
      <w:szCs w:val="24"/>
    </w:rPr>
  </w:style>
  <w:style w:type="character" w:customStyle="1" w:styleId="70">
    <w:name w:val="普通(网站) Char"/>
    <w:link w:val="32"/>
    <w:autoRedefine/>
    <w:qFormat/>
    <w:locked/>
    <w:uiPriority w:val="0"/>
    <w:rPr>
      <w:rFonts w:ascii="宋体" w:hAnsi="宋体" w:eastAsia="宋体"/>
      <w:sz w:val="24"/>
    </w:rPr>
  </w:style>
  <w:style w:type="character" w:customStyle="1" w:styleId="71">
    <w:name w:val="批注主题 Char"/>
    <w:link w:val="33"/>
    <w:autoRedefine/>
    <w:semiHidden/>
    <w:qFormat/>
    <w:locked/>
    <w:uiPriority w:val="0"/>
    <w:rPr>
      <w:rFonts w:ascii="Times New Roman" w:hAnsi="Times New Roman" w:eastAsia="宋体"/>
      <w:b/>
      <w:kern w:val="2"/>
      <w:sz w:val="24"/>
    </w:rPr>
  </w:style>
  <w:style w:type="character" w:customStyle="1" w:styleId="72">
    <w:name w:val="正文首行缩进 Char1"/>
    <w:link w:val="34"/>
    <w:autoRedefine/>
    <w:qFormat/>
    <w:uiPriority w:val="0"/>
    <w:rPr>
      <w:kern w:val="2"/>
      <w:sz w:val="21"/>
    </w:rPr>
  </w:style>
  <w:style w:type="character" w:customStyle="1" w:styleId="73">
    <w:name w:val="页脚 Char"/>
    <w:autoRedefine/>
    <w:qFormat/>
    <w:uiPriority w:val="99"/>
    <w:rPr>
      <w:kern w:val="2"/>
      <w:sz w:val="18"/>
      <w:szCs w:val="18"/>
    </w:rPr>
  </w:style>
  <w:style w:type="character" w:customStyle="1" w:styleId="74">
    <w:name w:val="split-word"/>
    <w:autoRedefine/>
    <w:qFormat/>
    <w:uiPriority w:val="0"/>
  </w:style>
  <w:style w:type="character" w:customStyle="1" w:styleId="75">
    <w:name w:val="表格文字 Char"/>
    <w:link w:val="76"/>
    <w:autoRedefine/>
    <w:qFormat/>
    <w:uiPriority w:val="0"/>
    <w:rPr>
      <w:rFonts w:ascii="仿宋_GB2312" w:hAnsi="Arial Black" w:eastAsia="仿宋_GB2312"/>
      <w:kern w:val="44"/>
      <w:sz w:val="24"/>
    </w:rPr>
  </w:style>
  <w:style w:type="paragraph" w:customStyle="1" w:styleId="76">
    <w:name w:val="表格文字"/>
    <w:basedOn w:val="1"/>
    <w:link w:val="75"/>
    <w:autoRedefine/>
    <w:qFormat/>
    <w:uiPriority w:val="0"/>
    <w:pPr>
      <w:adjustRightInd w:val="0"/>
      <w:snapToGrid w:val="0"/>
      <w:spacing w:line="300" w:lineRule="auto"/>
      <w:jc w:val="center"/>
    </w:pPr>
    <w:rPr>
      <w:rFonts w:ascii="仿宋_GB2312" w:hAnsi="Arial Black" w:eastAsia="仿宋_GB2312"/>
      <w:kern w:val="44"/>
      <w:sz w:val="24"/>
      <w:szCs w:val="20"/>
    </w:rPr>
  </w:style>
  <w:style w:type="character" w:customStyle="1" w:styleId="77">
    <w:name w:val="表格 Char Char"/>
    <w:autoRedefine/>
    <w:qFormat/>
    <w:locked/>
    <w:uiPriority w:val="99"/>
    <w:rPr>
      <w:rFonts w:ascii="宋体"/>
      <w:spacing w:val="4"/>
      <w:sz w:val="21"/>
      <w:lang w:val="en-US" w:eastAsia="zh-CN"/>
    </w:rPr>
  </w:style>
  <w:style w:type="character" w:customStyle="1" w:styleId="78">
    <w:name w:val="HTML 预设格式 Char"/>
    <w:autoRedefine/>
    <w:qFormat/>
    <w:uiPriority w:val="0"/>
    <w:rPr>
      <w:rFonts w:ascii="Courier New" w:hAnsi="Courier New" w:cs="Courier New"/>
      <w:kern w:val="2"/>
    </w:rPr>
  </w:style>
  <w:style w:type="character" w:customStyle="1" w:styleId="79">
    <w:name w:val="zhou11"/>
    <w:autoRedefine/>
    <w:qFormat/>
    <w:uiPriority w:val="0"/>
    <w:rPr>
      <w:color w:val="000000"/>
      <w:sz w:val="19"/>
      <w:szCs w:val="19"/>
    </w:rPr>
  </w:style>
  <w:style w:type="character" w:customStyle="1" w:styleId="80">
    <w:name w:val="表内1号 Char"/>
    <w:link w:val="81"/>
    <w:autoRedefine/>
    <w:qFormat/>
    <w:uiPriority w:val="0"/>
    <w:rPr>
      <w:szCs w:val="21"/>
    </w:rPr>
  </w:style>
  <w:style w:type="paragraph" w:customStyle="1" w:styleId="81">
    <w:name w:val="表内1号"/>
    <w:link w:val="80"/>
    <w:autoRedefine/>
    <w:qFormat/>
    <w:uiPriority w:val="0"/>
    <w:pPr>
      <w:jc w:val="center"/>
    </w:pPr>
    <w:rPr>
      <w:rFonts w:ascii="Times New Roman" w:hAnsi="Times New Roman" w:eastAsia="宋体" w:cs="Times New Roman"/>
      <w:szCs w:val="21"/>
      <w:lang w:val="en-US" w:eastAsia="zh-CN" w:bidi="ar-SA"/>
    </w:rPr>
  </w:style>
  <w:style w:type="character" w:customStyle="1" w:styleId="82">
    <w:name w:val="t_tag"/>
    <w:autoRedefine/>
    <w:qFormat/>
    <w:uiPriority w:val="0"/>
  </w:style>
  <w:style w:type="character" w:customStyle="1" w:styleId="83">
    <w:name w:val="正文首行缩进 Char"/>
    <w:link w:val="84"/>
    <w:autoRedefine/>
    <w:qFormat/>
    <w:uiPriority w:val="0"/>
    <w:rPr>
      <w:kern w:val="2"/>
      <w:sz w:val="21"/>
    </w:rPr>
  </w:style>
  <w:style w:type="paragraph" w:customStyle="1" w:styleId="84">
    <w:name w:val="正文首行缩进1"/>
    <w:basedOn w:val="16"/>
    <w:link w:val="83"/>
    <w:autoRedefine/>
    <w:qFormat/>
    <w:uiPriority w:val="0"/>
    <w:pPr>
      <w:widowControl w:val="0"/>
      <w:snapToGrid/>
      <w:spacing w:before="0" w:after="120" w:line="240" w:lineRule="auto"/>
      <w:ind w:right="0" w:firstLine="420" w:firstLineChars="100"/>
    </w:pPr>
    <w:rPr>
      <w:kern w:val="2"/>
      <w:sz w:val="21"/>
    </w:rPr>
  </w:style>
  <w:style w:type="character" w:customStyle="1" w:styleId="85">
    <w:name w:val="words-outer-wrap"/>
    <w:autoRedefine/>
    <w:qFormat/>
    <w:uiPriority w:val="0"/>
  </w:style>
  <w:style w:type="character" w:customStyle="1" w:styleId="86">
    <w:name w:val="评价正文 Char Char"/>
    <w:link w:val="87"/>
    <w:autoRedefine/>
    <w:qFormat/>
    <w:uiPriority w:val="0"/>
    <w:rPr>
      <w:rFonts w:ascii="仿宋_GB2312" w:hAnsi="仿宋_GB2312" w:eastAsia="仿宋_GB2312"/>
      <w:sz w:val="28"/>
      <w:szCs w:val="28"/>
    </w:rPr>
  </w:style>
  <w:style w:type="paragraph" w:customStyle="1" w:styleId="87">
    <w:name w:val="评价正文"/>
    <w:basedOn w:val="1"/>
    <w:link w:val="86"/>
    <w:autoRedefine/>
    <w:qFormat/>
    <w:uiPriority w:val="0"/>
    <w:pPr>
      <w:tabs>
        <w:tab w:val="left" w:pos="0"/>
      </w:tabs>
      <w:adjustRightInd w:val="0"/>
      <w:spacing w:line="500" w:lineRule="exact"/>
      <w:ind w:firstLine="200" w:firstLineChars="200"/>
    </w:pPr>
    <w:rPr>
      <w:rFonts w:ascii="仿宋_GB2312" w:hAnsi="仿宋_GB2312" w:eastAsia="仿宋_GB2312"/>
      <w:kern w:val="0"/>
      <w:sz w:val="28"/>
      <w:szCs w:val="28"/>
    </w:rPr>
  </w:style>
  <w:style w:type="character" w:customStyle="1" w:styleId="88">
    <w:name w:val="已访问的超链接1"/>
    <w:autoRedefine/>
    <w:qFormat/>
    <w:uiPriority w:val="0"/>
    <w:rPr>
      <w:color w:val="800080"/>
      <w:u w:val="single"/>
    </w:rPr>
  </w:style>
  <w:style w:type="character" w:customStyle="1" w:styleId="89">
    <w:name w:val="正文4号 Char"/>
    <w:link w:val="90"/>
    <w:autoRedefine/>
    <w:qFormat/>
    <w:uiPriority w:val="0"/>
    <w:rPr>
      <w:rFonts w:eastAsia="Times New Roman"/>
    </w:rPr>
  </w:style>
  <w:style w:type="paragraph" w:customStyle="1" w:styleId="90">
    <w:name w:val="正文4号"/>
    <w:basedOn w:val="1"/>
    <w:link w:val="89"/>
    <w:autoRedefine/>
    <w:qFormat/>
    <w:uiPriority w:val="0"/>
    <w:pPr>
      <w:adjustRightInd w:val="0"/>
      <w:snapToGrid w:val="0"/>
      <w:spacing w:line="360" w:lineRule="auto"/>
      <w:ind w:firstLine="200" w:firstLineChars="200"/>
    </w:pPr>
    <w:rPr>
      <w:rFonts w:eastAsia="Times New Roman"/>
      <w:kern w:val="0"/>
      <w:sz w:val="20"/>
      <w:szCs w:val="20"/>
    </w:rPr>
  </w:style>
  <w:style w:type="character" w:customStyle="1" w:styleId="91">
    <w:name w:val="页脚 字符"/>
    <w:autoRedefine/>
    <w:qFormat/>
    <w:uiPriority w:val="99"/>
  </w:style>
  <w:style w:type="character" w:customStyle="1" w:styleId="92">
    <w:name w:val="批注文字 Char"/>
    <w:autoRedefine/>
    <w:semiHidden/>
    <w:qFormat/>
    <w:uiPriority w:val="0"/>
    <w:rPr>
      <w:kern w:val="2"/>
      <w:sz w:val="21"/>
    </w:rPr>
  </w:style>
  <w:style w:type="character" w:customStyle="1" w:styleId="93">
    <w:name w:val="页眉 Char"/>
    <w:autoRedefine/>
    <w:qFormat/>
    <w:uiPriority w:val="99"/>
    <w:rPr>
      <w:kern w:val="2"/>
      <w:sz w:val="18"/>
      <w:szCs w:val="18"/>
    </w:rPr>
  </w:style>
  <w:style w:type="character" w:customStyle="1" w:styleId="94">
    <w:name w:val="表格123 Char"/>
    <w:link w:val="95"/>
    <w:autoRedefine/>
    <w:qFormat/>
    <w:uiPriority w:val="0"/>
    <w:rPr>
      <w:rFonts w:ascii="仿宋" w:hAnsi="仿宋" w:eastAsia="仿宋"/>
      <w:kern w:val="2"/>
      <w:sz w:val="21"/>
      <w:szCs w:val="21"/>
    </w:rPr>
  </w:style>
  <w:style w:type="paragraph" w:customStyle="1" w:styleId="95">
    <w:name w:val="表格123"/>
    <w:basedOn w:val="1"/>
    <w:next w:val="1"/>
    <w:link w:val="94"/>
    <w:autoRedefine/>
    <w:qFormat/>
    <w:uiPriority w:val="0"/>
    <w:pPr>
      <w:jc w:val="center"/>
    </w:pPr>
    <w:rPr>
      <w:rFonts w:ascii="仿宋" w:hAnsi="仿宋" w:eastAsia="仿宋"/>
      <w:szCs w:val="21"/>
    </w:rPr>
  </w:style>
  <w:style w:type="character" w:customStyle="1" w:styleId="96">
    <w:name w:val="批注文字 字符1"/>
    <w:autoRedefine/>
    <w:semiHidden/>
    <w:qFormat/>
    <w:uiPriority w:val="0"/>
    <w:rPr>
      <w:rFonts w:ascii="Times New Roman" w:hAnsi="Times New Roman" w:eastAsia="宋体"/>
      <w:sz w:val="24"/>
    </w:rPr>
  </w:style>
  <w:style w:type="character" w:customStyle="1" w:styleId="97">
    <w:name w:val="正文文本缩进 Char"/>
    <w:autoRedefine/>
    <w:qFormat/>
    <w:uiPriority w:val="0"/>
    <w:rPr>
      <w:rFonts w:eastAsia="宋体"/>
      <w:kern w:val="2"/>
      <w:sz w:val="24"/>
      <w:lang w:val="en-US" w:eastAsia="zh-CN" w:bidi="ar-SA"/>
    </w:rPr>
  </w:style>
  <w:style w:type="character" w:customStyle="1" w:styleId="98">
    <w:name w:val="c lh15"/>
    <w:autoRedefine/>
    <w:qFormat/>
    <w:uiPriority w:val="0"/>
  </w:style>
  <w:style w:type="character" w:customStyle="1" w:styleId="99">
    <w:name w:val="description"/>
    <w:autoRedefine/>
    <w:qFormat/>
    <w:uiPriority w:val="0"/>
  </w:style>
  <w:style w:type="character" w:customStyle="1" w:styleId="100">
    <w:name w:val="正文缩进 字符"/>
    <w:autoRedefine/>
    <w:qFormat/>
    <w:uiPriority w:val="0"/>
    <w:rPr>
      <w:kern w:val="2"/>
      <w:sz w:val="24"/>
    </w:rPr>
  </w:style>
  <w:style w:type="character" w:customStyle="1" w:styleId="101">
    <w:name w:val="正文（首行缩进两字） Char Char Char1"/>
    <w:autoRedefine/>
    <w:qFormat/>
    <w:uiPriority w:val="0"/>
    <w:rPr>
      <w:rFonts w:eastAsia="宋体"/>
      <w:kern w:val="2"/>
      <w:sz w:val="28"/>
      <w:szCs w:val="24"/>
      <w:lang w:val="en-US" w:eastAsia="zh-CN" w:bidi="ar-SA"/>
    </w:rPr>
  </w:style>
  <w:style w:type="character" w:customStyle="1" w:styleId="102">
    <w:name w:val="apple-converted-space"/>
    <w:autoRedefine/>
    <w:qFormat/>
    <w:uiPriority w:val="0"/>
  </w:style>
  <w:style w:type="character" w:customStyle="1" w:styleId="103">
    <w:name w:val="表格内文字 Char Char"/>
    <w:link w:val="104"/>
    <w:autoRedefine/>
    <w:qFormat/>
    <w:uiPriority w:val="0"/>
    <w:rPr>
      <w:rFonts w:eastAsia="仿宋_GB2312"/>
      <w:kern w:val="2"/>
      <w:sz w:val="24"/>
    </w:rPr>
  </w:style>
  <w:style w:type="paragraph" w:customStyle="1" w:styleId="104">
    <w:name w:val="表格内文字"/>
    <w:basedOn w:val="1"/>
    <w:link w:val="103"/>
    <w:autoRedefine/>
    <w:qFormat/>
    <w:uiPriority w:val="0"/>
    <w:pPr>
      <w:tabs>
        <w:tab w:val="left" w:pos="0"/>
      </w:tabs>
      <w:adjustRightInd w:val="0"/>
      <w:snapToGrid w:val="0"/>
      <w:jc w:val="center"/>
    </w:pPr>
    <w:rPr>
      <w:rFonts w:eastAsia="仿宋_GB2312"/>
      <w:sz w:val="24"/>
      <w:szCs w:val="20"/>
    </w:rPr>
  </w:style>
  <w:style w:type="character" w:customStyle="1" w:styleId="105">
    <w:name w:val="表内容 Char"/>
    <w:link w:val="106"/>
    <w:autoRedefine/>
    <w:qFormat/>
    <w:uiPriority w:val="0"/>
    <w:rPr>
      <w:kern w:val="2"/>
      <w:sz w:val="21"/>
    </w:rPr>
  </w:style>
  <w:style w:type="paragraph" w:customStyle="1" w:styleId="106">
    <w:name w:val="表内容"/>
    <w:basedOn w:val="1"/>
    <w:next w:val="1"/>
    <w:link w:val="105"/>
    <w:autoRedefine/>
    <w:qFormat/>
    <w:uiPriority w:val="0"/>
    <w:pPr>
      <w:spacing w:line="320" w:lineRule="exact"/>
      <w:jc w:val="center"/>
    </w:pPr>
    <w:rPr>
      <w:szCs w:val="20"/>
    </w:rPr>
  </w:style>
  <w:style w:type="character" w:customStyle="1" w:styleId="107">
    <w:name w:val="h31"/>
    <w:autoRedefine/>
    <w:qFormat/>
    <w:uiPriority w:val="0"/>
    <w:rPr>
      <w:sz w:val="19"/>
      <w:szCs w:val="19"/>
    </w:rPr>
  </w:style>
  <w:style w:type="character" w:customStyle="1" w:styleId="108">
    <w:name w:val="表头1号 Char"/>
    <w:link w:val="109"/>
    <w:autoRedefine/>
    <w:qFormat/>
    <w:locked/>
    <w:uiPriority w:val="99"/>
    <w:rPr>
      <w:b/>
      <w:bCs/>
      <w:kern w:val="2"/>
      <w:sz w:val="24"/>
      <w:szCs w:val="24"/>
    </w:rPr>
  </w:style>
  <w:style w:type="paragraph" w:customStyle="1" w:styleId="109">
    <w:name w:val="表头1号"/>
    <w:link w:val="108"/>
    <w:autoRedefine/>
    <w:qFormat/>
    <w:uiPriority w:val="99"/>
    <w:pPr>
      <w:keepNext/>
      <w:jc w:val="center"/>
    </w:pPr>
    <w:rPr>
      <w:rFonts w:ascii="Times New Roman" w:hAnsi="Times New Roman" w:eastAsia="宋体" w:cs="Times New Roman"/>
      <w:b/>
      <w:bCs/>
      <w:kern w:val="2"/>
      <w:sz w:val="24"/>
      <w:szCs w:val="24"/>
      <w:lang w:val="en-US" w:eastAsia="zh-CN" w:bidi="ar-SA"/>
    </w:rPr>
  </w:style>
  <w:style w:type="character" w:customStyle="1" w:styleId="110">
    <w:name w:val="日期 字符"/>
    <w:autoRedefine/>
    <w:semiHidden/>
    <w:qFormat/>
    <w:uiPriority w:val="0"/>
    <w:rPr>
      <w:rFonts w:ascii="Times New Roman" w:hAnsi="Times New Roman" w:eastAsia="宋体"/>
      <w:sz w:val="24"/>
    </w:rPr>
  </w:style>
  <w:style w:type="character" w:customStyle="1" w:styleId="111">
    <w:name w:val="正文（首行缩进两字） Char Char Char Char"/>
    <w:autoRedefine/>
    <w:qFormat/>
    <w:uiPriority w:val="0"/>
    <w:rPr>
      <w:rFonts w:eastAsia="宋体"/>
      <w:kern w:val="2"/>
      <w:sz w:val="28"/>
      <w:szCs w:val="24"/>
      <w:lang w:val="en-US" w:eastAsia="zh-CN" w:bidi="ar-SA"/>
    </w:rPr>
  </w:style>
  <w:style w:type="character" w:customStyle="1" w:styleId="112">
    <w:name w:val="表格文字5号 Char Char"/>
    <w:link w:val="113"/>
    <w:autoRedefine/>
    <w:qFormat/>
    <w:uiPriority w:val="0"/>
    <w:rPr>
      <w:rFonts w:ascii="宋体"/>
      <w:kern w:val="2"/>
      <w:sz w:val="21"/>
      <w:szCs w:val="24"/>
    </w:rPr>
  </w:style>
  <w:style w:type="paragraph" w:customStyle="1" w:styleId="113">
    <w:name w:val="表格文字5号"/>
    <w:basedOn w:val="1"/>
    <w:next w:val="1"/>
    <w:link w:val="112"/>
    <w:autoRedefine/>
    <w:qFormat/>
    <w:uiPriority w:val="0"/>
    <w:pPr>
      <w:jc w:val="center"/>
    </w:pPr>
    <w:rPr>
      <w:rFonts w:ascii="宋体"/>
    </w:rPr>
  </w:style>
  <w:style w:type="character" w:customStyle="1" w:styleId="114">
    <w:name w:val="宋体 小四 Char"/>
    <w:link w:val="115"/>
    <w:autoRedefine/>
    <w:qFormat/>
    <w:uiPriority w:val="0"/>
    <w:rPr>
      <w:rFonts w:hAnsi="宋体"/>
      <w:kern w:val="2"/>
      <w:sz w:val="24"/>
      <w:szCs w:val="24"/>
    </w:rPr>
  </w:style>
  <w:style w:type="paragraph" w:customStyle="1" w:styleId="115">
    <w:name w:val="宋体 小四"/>
    <w:basedOn w:val="1"/>
    <w:link w:val="114"/>
    <w:autoRedefine/>
    <w:qFormat/>
    <w:uiPriority w:val="0"/>
    <w:pPr>
      <w:spacing w:line="360" w:lineRule="auto"/>
      <w:ind w:firstLine="200" w:firstLineChars="200"/>
    </w:pPr>
    <w:rPr>
      <w:rFonts w:hAnsi="宋体"/>
      <w:sz w:val="24"/>
    </w:rPr>
  </w:style>
  <w:style w:type="character" w:customStyle="1" w:styleId="116">
    <w:name w:val="正文文本 字符1"/>
    <w:autoRedefine/>
    <w:semiHidden/>
    <w:qFormat/>
    <w:uiPriority w:val="0"/>
    <w:rPr>
      <w:rFonts w:ascii="Times New Roman" w:hAnsi="Times New Roman" w:eastAsia="宋体"/>
      <w:sz w:val="24"/>
    </w:rPr>
  </w:style>
  <w:style w:type="character" w:customStyle="1" w:styleId="117">
    <w:name w:val="表格 Char"/>
    <w:link w:val="118"/>
    <w:autoRedefine/>
    <w:qFormat/>
    <w:locked/>
    <w:uiPriority w:val="0"/>
    <w:rPr>
      <w:rFonts w:ascii="宋体"/>
      <w:sz w:val="21"/>
    </w:rPr>
  </w:style>
  <w:style w:type="paragraph" w:customStyle="1" w:styleId="118">
    <w:name w:val="表格"/>
    <w:basedOn w:val="11"/>
    <w:next w:val="1"/>
    <w:link w:val="117"/>
    <w:autoRedefine/>
    <w:qFormat/>
    <w:uiPriority w:val="0"/>
    <w:pPr>
      <w:adjustRightInd w:val="0"/>
      <w:snapToGrid w:val="0"/>
      <w:spacing w:beforeLines="10" w:afterLines="10" w:line="259" w:lineRule="auto"/>
      <w:jc w:val="center"/>
    </w:pPr>
    <w:rPr>
      <w:rFonts w:ascii="宋体"/>
      <w:kern w:val="0"/>
      <w:szCs w:val="20"/>
    </w:rPr>
  </w:style>
  <w:style w:type="character" w:customStyle="1" w:styleId="119">
    <w:name w:val="ref"/>
    <w:autoRedefine/>
    <w:qFormat/>
    <w:uiPriority w:val="0"/>
  </w:style>
  <w:style w:type="character" w:customStyle="1" w:styleId="120">
    <w:name w:val="正文文本 Char"/>
    <w:autoRedefine/>
    <w:qFormat/>
    <w:uiPriority w:val="0"/>
    <w:rPr>
      <w:rFonts w:ascii="宋体"/>
      <w:kern w:val="2"/>
      <w:sz w:val="24"/>
    </w:rPr>
  </w:style>
  <w:style w:type="character" w:customStyle="1" w:styleId="121">
    <w:name w:val="批注框文本 Char"/>
    <w:autoRedefine/>
    <w:qFormat/>
    <w:uiPriority w:val="99"/>
    <w:rPr>
      <w:kern w:val="2"/>
      <w:sz w:val="18"/>
      <w:szCs w:val="18"/>
    </w:rPr>
  </w:style>
  <w:style w:type="character" w:customStyle="1" w:styleId="122">
    <w:name w:val="正文缩进1"/>
    <w:autoRedefine/>
    <w:qFormat/>
    <w:uiPriority w:val="0"/>
    <w:rPr>
      <w:rFonts w:eastAsia="宋体"/>
      <w:kern w:val="2"/>
      <w:sz w:val="28"/>
      <w:szCs w:val="24"/>
      <w:lang w:val="en-US" w:eastAsia="zh-CN" w:bidi="ar-SA"/>
    </w:rPr>
  </w:style>
  <w:style w:type="character" w:customStyle="1" w:styleId="123">
    <w:name w:val="font11"/>
    <w:autoRedefine/>
    <w:qFormat/>
    <w:uiPriority w:val="0"/>
    <w:rPr>
      <w:sz w:val="18"/>
      <w:szCs w:val="18"/>
    </w:rPr>
  </w:style>
  <w:style w:type="character" w:customStyle="1" w:styleId="124">
    <w:name w:val="正文（首行缩进两字） Char Char Char Char Char Char"/>
    <w:autoRedefine/>
    <w:qFormat/>
    <w:locked/>
    <w:uiPriority w:val="0"/>
    <w:rPr>
      <w:rFonts w:eastAsia="宋体"/>
      <w:kern w:val="24"/>
      <w:sz w:val="28"/>
      <w:szCs w:val="28"/>
      <w:lang w:val="en-US" w:eastAsia="zh-CN"/>
    </w:rPr>
  </w:style>
  <w:style w:type="paragraph" w:customStyle="1" w:styleId="125">
    <w:name w:val="Char1 Char Char Char Char Char1 Char Char Char Char Char Char Char"/>
    <w:basedOn w:val="1"/>
    <w:autoRedefine/>
    <w:qFormat/>
    <w:uiPriority w:val="0"/>
    <w:rPr>
      <w:sz w:val="24"/>
    </w:rPr>
  </w:style>
  <w:style w:type="paragraph" w:customStyle="1" w:styleId="126">
    <w:name w:val="默认段落字体 Para Char Char Char Char Char Char1 Char Char Char Char Char Char Char"/>
    <w:basedOn w:val="1"/>
    <w:autoRedefine/>
    <w:qFormat/>
    <w:uiPriority w:val="0"/>
    <w:rPr>
      <w:sz w:val="24"/>
    </w:rPr>
  </w:style>
  <w:style w:type="paragraph" w:customStyle="1" w:styleId="127">
    <w:name w:val="Char1 Char Char Char Char Char Char Char Char"/>
    <w:basedOn w:val="1"/>
    <w:autoRedefine/>
    <w:qFormat/>
    <w:uiPriority w:val="0"/>
    <w:rPr>
      <w:sz w:val="24"/>
    </w:rPr>
  </w:style>
  <w:style w:type="paragraph" w:customStyle="1" w:styleId="128">
    <w:name w:val="正文_1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9">
    <w:name w:val="普通(网站)2"/>
    <w:basedOn w:val="1"/>
    <w:autoRedefine/>
    <w:qFormat/>
    <w:uiPriority w:val="0"/>
    <w:pPr>
      <w:widowControl/>
      <w:spacing w:before="100" w:beforeAutospacing="1" w:after="100" w:afterAutospacing="1"/>
      <w:jc w:val="left"/>
    </w:pPr>
    <w:rPr>
      <w:rFonts w:ascii="宋体" w:hAnsi="宋体"/>
      <w:sz w:val="24"/>
      <w:szCs w:val="20"/>
    </w:rPr>
  </w:style>
  <w:style w:type="paragraph" w:customStyle="1" w:styleId="130">
    <w:name w:val="框图"/>
    <w:basedOn w:val="1"/>
    <w:autoRedefine/>
    <w:qFormat/>
    <w:uiPriority w:val="0"/>
    <w:pPr>
      <w:adjustRightInd w:val="0"/>
      <w:snapToGrid w:val="0"/>
      <w:spacing w:line="27" w:lineRule="atLeast"/>
      <w:ind w:left="24" w:leftChars="-38" w:right="-106" w:rightChars="-38" w:hanging="130" w:hangingChars="54"/>
      <w:jc w:val="center"/>
    </w:pPr>
    <w:rPr>
      <w:rFonts w:ascii="仿宋_GB2312" w:eastAsia="仿宋_GB2312"/>
      <w:sz w:val="24"/>
      <w:szCs w:val="20"/>
    </w:rPr>
  </w:style>
  <w:style w:type="paragraph" w:customStyle="1" w:styleId="131">
    <w:name w:val="Char Char1 Char Char Char Char Char Char Char Char Char"/>
    <w:basedOn w:val="1"/>
    <w:autoRedefine/>
    <w:qFormat/>
    <w:uiPriority w:val="0"/>
    <w:rPr>
      <w:sz w:val="24"/>
    </w:rPr>
  </w:style>
  <w:style w:type="paragraph" w:customStyle="1" w:styleId="132">
    <w:name w:val="Table Paragraph"/>
    <w:basedOn w:val="1"/>
    <w:autoRedefine/>
    <w:qFormat/>
    <w:uiPriority w:val="1"/>
    <w:pPr>
      <w:autoSpaceDE w:val="0"/>
      <w:autoSpaceDN w:val="0"/>
      <w:adjustRightInd w:val="0"/>
      <w:jc w:val="left"/>
    </w:pPr>
    <w:rPr>
      <w:kern w:val="0"/>
      <w:sz w:val="24"/>
    </w:rPr>
  </w:style>
  <w:style w:type="paragraph" w:customStyle="1" w:styleId="133">
    <w:name w:val="Char Char Char Char1"/>
    <w:basedOn w:val="1"/>
    <w:autoRedefine/>
    <w:qFormat/>
    <w:uiPriority w:val="0"/>
    <w:rPr>
      <w:sz w:val="24"/>
    </w:rPr>
  </w:style>
  <w:style w:type="paragraph" w:customStyle="1" w:styleId="134">
    <w:name w:val="表名"/>
    <w:basedOn w:val="1"/>
    <w:autoRedefine/>
    <w:qFormat/>
    <w:uiPriority w:val="0"/>
    <w:pPr>
      <w:adjustRightInd w:val="0"/>
      <w:spacing w:before="120" w:after="120" w:line="380" w:lineRule="atLeast"/>
      <w:ind w:firstLine="425"/>
      <w:jc w:val="center"/>
    </w:pPr>
    <w:rPr>
      <w:kern w:val="0"/>
      <w:sz w:val="24"/>
      <w:szCs w:val="20"/>
    </w:rPr>
  </w:style>
  <w:style w:type="paragraph" w:customStyle="1" w:styleId="135">
    <w:name w:val="Char Char Char1 Char Char Char Char Char Char Char Char Char Char Char Char Char Char Char"/>
    <w:basedOn w:val="1"/>
    <w:autoRedefine/>
    <w:qFormat/>
    <w:uiPriority w:val="0"/>
    <w:rPr>
      <w:sz w:val="24"/>
    </w:rPr>
  </w:style>
  <w:style w:type="paragraph" w:customStyle="1" w:styleId="136">
    <w:name w:val="表内"/>
    <w:basedOn w:val="1"/>
    <w:autoRedefine/>
    <w:qFormat/>
    <w:uiPriority w:val="0"/>
    <w:pPr>
      <w:adjustRightInd w:val="0"/>
      <w:snapToGrid w:val="0"/>
      <w:spacing w:line="360" w:lineRule="auto"/>
      <w:ind w:firstLine="482"/>
    </w:pPr>
    <w:rPr>
      <w:sz w:val="24"/>
      <w:szCs w:val="21"/>
    </w:rPr>
  </w:style>
  <w:style w:type="paragraph" w:customStyle="1" w:styleId="137">
    <w:name w:val="Char Char1 Char Char Char Char Char Char Char Char Char Char"/>
    <w:basedOn w:val="1"/>
    <w:autoRedefine/>
    <w:qFormat/>
    <w:uiPriority w:val="0"/>
    <w:rPr>
      <w:sz w:val="24"/>
    </w:rPr>
  </w:style>
  <w:style w:type="paragraph" w:customStyle="1" w:styleId="138">
    <w:name w:val="标题2"/>
    <w:basedOn w:val="1"/>
    <w:next w:val="1"/>
    <w:autoRedefine/>
    <w:qFormat/>
    <w:uiPriority w:val="0"/>
    <w:pPr>
      <w:autoSpaceDE w:val="0"/>
      <w:autoSpaceDN w:val="0"/>
      <w:snapToGrid w:val="0"/>
      <w:spacing w:line="590" w:lineRule="atLeast"/>
      <w:jc w:val="center"/>
    </w:pPr>
    <w:rPr>
      <w:rFonts w:eastAsia="方正楷体_GBK"/>
      <w:snapToGrid w:val="0"/>
      <w:kern w:val="0"/>
      <w:sz w:val="32"/>
      <w:szCs w:val="20"/>
    </w:rPr>
  </w:style>
  <w:style w:type="paragraph" w:customStyle="1" w:styleId="139">
    <w:name w:val="默认段落字体 Para Char Char Char Char Char Char Char"/>
    <w:basedOn w:val="1"/>
    <w:autoRedefine/>
    <w:qFormat/>
    <w:uiPriority w:val="0"/>
    <w:rPr>
      <w:sz w:val="24"/>
    </w:rPr>
  </w:style>
  <w:style w:type="paragraph" w:customStyle="1" w:styleId="140">
    <w:name w:val="样式3"/>
    <w:basedOn w:val="20"/>
    <w:autoRedefine/>
    <w:qFormat/>
    <w:uiPriority w:val="0"/>
    <w:pPr>
      <w:spacing w:beforeLines="50" w:afterLines="50" w:line="480" w:lineRule="exact"/>
      <w:ind w:left="0" w:leftChars="0"/>
    </w:pPr>
    <w:rPr>
      <w:rFonts w:eastAsia="黑体"/>
      <w:bCs/>
      <w:kern w:val="2"/>
      <w:sz w:val="30"/>
    </w:rPr>
  </w:style>
  <w:style w:type="paragraph" w:styleId="141">
    <w:name w:val="List Paragraph"/>
    <w:basedOn w:val="1"/>
    <w:autoRedefine/>
    <w:qFormat/>
    <w:uiPriority w:val="34"/>
    <w:pPr>
      <w:ind w:firstLine="420" w:firstLineChars="200"/>
    </w:pPr>
    <w:rPr>
      <w:szCs w:val="20"/>
    </w:rPr>
  </w:style>
  <w:style w:type="paragraph" w:customStyle="1" w:styleId="142">
    <w:name w:val="Char Char Char1 Char Char Char Char Char Char Char Char Char1"/>
    <w:basedOn w:val="1"/>
    <w:autoRedefine/>
    <w:qFormat/>
    <w:uiPriority w:val="0"/>
    <w:rPr>
      <w:sz w:val="24"/>
    </w:rPr>
  </w:style>
  <w:style w:type="paragraph" w:customStyle="1" w:styleId="143">
    <w:name w:val="Char Char1 Char Char Char Char Char Char"/>
    <w:basedOn w:val="1"/>
    <w:autoRedefine/>
    <w:qFormat/>
    <w:uiPriority w:val="0"/>
    <w:rPr>
      <w:sz w:val="24"/>
    </w:rPr>
  </w:style>
  <w:style w:type="paragraph" w:customStyle="1" w:styleId="144">
    <w:name w:val="Char Char Char1 Char Char Char Char Char Char1 Char"/>
    <w:basedOn w:val="1"/>
    <w:autoRedefine/>
    <w:qFormat/>
    <w:uiPriority w:val="0"/>
    <w:rPr>
      <w:szCs w:val="20"/>
    </w:rPr>
  </w:style>
  <w:style w:type="paragraph" w:customStyle="1" w:styleId="145">
    <w:name w:val="xl74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Courier New" w:hAnsi="Courier New" w:eastAsia="Arial Unicode MS"/>
      <w:kern w:val="0"/>
      <w:sz w:val="24"/>
    </w:rPr>
  </w:style>
  <w:style w:type="paragraph" w:customStyle="1" w:styleId="146">
    <w:name w:val="Char1 Char Char Char Char Char Char"/>
    <w:basedOn w:val="1"/>
    <w:autoRedefine/>
    <w:qFormat/>
    <w:uiPriority w:val="0"/>
    <w:rPr>
      <w:sz w:val="24"/>
    </w:rPr>
  </w:style>
  <w:style w:type="paragraph" w:customStyle="1" w:styleId="147">
    <w:name w:val="Char Char Char1 Char Char Char Char Char Char Char Char Char Char Char Char Char"/>
    <w:basedOn w:val="1"/>
    <w:autoRedefine/>
    <w:qFormat/>
    <w:uiPriority w:val="0"/>
    <w:rPr>
      <w:sz w:val="24"/>
    </w:rPr>
  </w:style>
  <w:style w:type="paragraph" w:customStyle="1" w:styleId="148">
    <w:name w:val="Char Char Char1 Char Char Char Char Char Char Char Char Char"/>
    <w:basedOn w:val="1"/>
    <w:autoRedefine/>
    <w:qFormat/>
    <w:uiPriority w:val="0"/>
    <w:rPr>
      <w:sz w:val="24"/>
    </w:rPr>
  </w:style>
  <w:style w:type="paragraph" w:customStyle="1" w:styleId="149">
    <w:name w:val="Char Char Char"/>
    <w:basedOn w:val="1"/>
    <w:autoRedefine/>
    <w:qFormat/>
    <w:uiPriority w:val="0"/>
    <w:rPr>
      <w:sz w:val="24"/>
    </w:rPr>
  </w:style>
  <w:style w:type="paragraph" w:customStyle="1" w:styleId="150">
    <w:name w:val="样式5"/>
    <w:basedOn w:val="1"/>
    <w:autoRedefine/>
    <w:qFormat/>
    <w:uiPriority w:val="0"/>
    <w:pPr>
      <w:spacing w:beforeLines="50" w:afterLines="50" w:line="480" w:lineRule="exact"/>
      <w:ind w:firstLine="300" w:firstLineChars="100"/>
    </w:pPr>
    <w:rPr>
      <w:rFonts w:eastAsia="仿宋_GB2312"/>
      <w:bCs/>
      <w:sz w:val="30"/>
      <w:szCs w:val="20"/>
    </w:rPr>
  </w:style>
  <w:style w:type="paragraph" w:customStyle="1" w:styleId="151">
    <w:name w:val="_Style 161"/>
    <w:basedOn w:val="1"/>
    <w:autoRedefine/>
    <w:qFormat/>
    <w:uiPriority w:val="0"/>
    <w:pPr>
      <w:widowControl/>
      <w:jc w:val="left"/>
    </w:pPr>
    <w:rPr>
      <w:rFonts w:ascii="宋体" w:hAnsi="宋体" w:cs="宋体"/>
      <w:kern w:val="0"/>
      <w:sz w:val="24"/>
      <w:szCs w:val="21"/>
    </w:rPr>
  </w:style>
  <w:style w:type="paragraph" w:customStyle="1" w:styleId="152">
    <w:name w:val="表题"/>
    <w:basedOn w:val="27"/>
    <w:autoRedefine/>
    <w:qFormat/>
    <w:uiPriority w:val="0"/>
    <w:pPr>
      <w:spacing w:beforeLines="50" w:line="480" w:lineRule="exact"/>
      <w:ind w:left="0" w:firstLine="0" w:firstLineChars="0"/>
      <w:jc w:val="center"/>
    </w:pPr>
    <w:rPr>
      <w:rFonts w:eastAsia="黑体"/>
      <w:sz w:val="28"/>
      <w:szCs w:val="24"/>
    </w:rPr>
  </w:style>
  <w:style w:type="paragraph" w:customStyle="1" w:styleId="153">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小四表文左齐"/>
    <w:basedOn w:val="1"/>
    <w:autoRedefine/>
    <w:qFormat/>
    <w:uiPriority w:val="0"/>
    <w:pPr>
      <w:jc w:val="center"/>
    </w:pPr>
    <w:rPr>
      <w:rFonts w:ascii="仿宋_GB2312" w:hAnsi="仿宋" w:eastAsia="仿宋_GB2312"/>
      <w:szCs w:val="21"/>
    </w:rPr>
  </w:style>
  <w:style w:type="paragraph" w:customStyle="1" w:styleId="155">
    <w:name w:val="Char2 Char Char Char Char Char"/>
    <w:basedOn w:val="1"/>
    <w:autoRedefine/>
    <w:qFormat/>
    <w:uiPriority w:val="0"/>
    <w:rPr>
      <w:sz w:val="24"/>
    </w:rPr>
  </w:style>
  <w:style w:type="paragraph" w:customStyle="1" w:styleId="156">
    <w:name w:val="表字1"/>
    <w:basedOn w:val="1"/>
    <w:autoRedefine/>
    <w:qFormat/>
    <w:uiPriority w:val="0"/>
    <w:pPr>
      <w:adjustRightInd w:val="0"/>
      <w:spacing w:line="360" w:lineRule="auto"/>
      <w:jc w:val="center"/>
      <w:textAlignment w:val="baseline"/>
    </w:pPr>
    <w:rPr>
      <w:rFonts w:ascii="宋体"/>
      <w:kern w:val="0"/>
      <w:szCs w:val="20"/>
    </w:rPr>
  </w:style>
  <w:style w:type="paragraph" w:customStyle="1" w:styleId="157">
    <w:name w:val="Char Char"/>
    <w:basedOn w:val="1"/>
    <w:autoRedefine/>
    <w:qFormat/>
    <w:uiPriority w:val="0"/>
    <w:rPr>
      <w:sz w:val="24"/>
    </w:rPr>
  </w:style>
  <w:style w:type="paragraph" w:customStyle="1" w:styleId="158">
    <w:name w:val="Char Char Char Char Char Char Char Char Char Char"/>
    <w:basedOn w:val="1"/>
    <w:autoRedefine/>
    <w:qFormat/>
    <w:uiPriority w:val="0"/>
    <w:rPr>
      <w:sz w:val="24"/>
    </w:rPr>
  </w:style>
  <w:style w:type="paragraph" w:customStyle="1" w:styleId="159">
    <w:name w:val="表格正文"/>
    <w:basedOn w:val="1"/>
    <w:autoRedefine/>
    <w:qFormat/>
    <w:uiPriority w:val="0"/>
    <w:pPr>
      <w:spacing w:line="360" w:lineRule="exact"/>
      <w:jc w:val="center"/>
    </w:pPr>
  </w:style>
  <w:style w:type="paragraph" w:customStyle="1" w:styleId="160">
    <w:name w:val="Char Char Char1 Char Char Char Char"/>
    <w:basedOn w:val="1"/>
    <w:autoRedefine/>
    <w:qFormat/>
    <w:uiPriority w:val="0"/>
    <w:rPr>
      <w:sz w:val="24"/>
    </w:rPr>
  </w:style>
  <w:style w:type="paragraph" w:customStyle="1" w:styleId="161">
    <w:name w:val="Char Char Char Char"/>
    <w:basedOn w:val="1"/>
    <w:autoRedefine/>
    <w:qFormat/>
    <w:uiPriority w:val="0"/>
    <w:rPr>
      <w:szCs w:val="20"/>
    </w:rPr>
  </w:style>
  <w:style w:type="paragraph" w:customStyle="1" w:styleId="162">
    <w:name w:val="目录 21"/>
    <w:basedOn w:val="1"/>
    <w:next w:val="1"/>
    <w:autoRedefine/>
    <w:semiHidden/>
    <w:qFormat/>
    <w:uiPriority w:val="0"/>
    <w:pPr>
      <w:ind w:left="420" w:leftChars="200"/>
    </w:pPr>
    <w:rPr>
      <w:szCs w:val="20"/>
    </w:rPr>
  </w:style>
  <w:style w:type="paragraph" w:customStyle="1" w:styleId="163">
    <w:name w:val="目录 11"/>
    <w:basedOn w:val="1"/>
    <w:next w:val="1"/>
    <w:autoRedefine/>
    <w:semiHidden/>
    <w:qFormat/>
    <w:uiPriority w:val="0"/>
    <w:pPr>
      <w:tabs>
        <w:tab w:val="left" w:pos="420"/>
        <w:tab w:val="right" w:leader="dot" w:pos="8303"/>
      </w:tabs>
    </w:pPr>
    <w:rPr>
      <w:rFonts w:ascii="仿宋_GB2312" w:hAnsi="Arial Black" w:eastAsia="仿宋_GB2312"/>
      <w:sz w:val="28"/>
      <w:szCs w:val="20"/>
    </w:rPr>
  </w:style>
  <w:style w:type="paragraph" w:customStyle="1" w:styleId="164">
    <w:name w:val="表格字体"/>
    <w:basedOn w:val="1"/>
    <w:autoRedefine/>
    <w:qFormat/>
    <w:uiPriority w:val="0"/>
    <w:pPr>
      <w:adjustRightInd w:val="0"/>
      <w:snapToGrid w:val="0"/>
      <w:spacing w:beforeLines="20" w:afterLines="20"/>
      <w:jc w:val="center"/>
    </w:pPr>
    <w:rPr>
      <w:szCs w:val="21"/>
    </w:rPr>
  </w:style>
  <w:style w:type="paragraph" w:customStyle="1" w:styleId="165">
    <w:name w:val="1"/>
    <w:basedOn w:val="1"/>
    <w:next w:val="28"/>
    <w:autoRedefine/>
    <w:qFormat/>
    <w:uiPriority w:val="0"/>
    <w:pPr>
      <w:tabs>
        <w:tab w:val="left" w:pos="604"/>
      </w:tabs>
      <w:spacing w:line="360" w:lineRule="auto"/>
      <w:ind w:firstLine="600"/>
    </w:pPr>
    <w:rPr>
      <w:sz w:val="24"/>
    </w:rPr>
  </w:style>
  <w:style w:type="paragraph" w:customStyle="1" w:styleId="166">
    <w:name w:val="Char Char1 Char"/>
    <w:basedOn w:val="1"/>
    <w:autoRedefine/>
    <w:qFormat/>
    <w:uiPriority w:val="0"/>
    <w:rPr>
      <w:szCs w:val="20"/>
    </w:rPr>
  </w:style>
  <w:style w:type="paragraph" w:customStyle="1" w:styleId="167">
    <w:name w:val="Char Char1 Char Char Char"/>
    <w:basedOn w:val="1"/>
    <w:autoRedefine/>
    <w:qFormat/>
    <w:uiPriority w:val="0"/>
    <w:rPr>
      <w:szCs w:val="20"/>
    </w:rPr>
  </w:style>
  <w:style w:type="paragraph" w:customStyle="1" w:styleId="168">
    <w:name w:val="样式4"/>
    <w:basedOn w:val="4"/>
    <w:autoRedefine/>
    <w:qFormat/>
    <w:uiPriority w:val="0"/>
    <w:pPr>
      <w:keepNext w:val="0"/>
      <w:tabs>
        <w:tab w:val="left" w:pos="890"/>
      </w:tabs>
      <w:adjustRightInd w:val="0"/>
      <w:snapToGrid w:val="0"/>
      <w:spacing w:beforeLines="50" w:after="0" w:line="360" w:lineRule="auto"/>
      <w:ind w:left="890" w:hanging="890"/>
    </w:pPr>
    <w:rPr>
      <w:rFonts w:ascii="宋体" w:hAnsi="宋体"/>
      <w:b w:val="0"/>
      <w:bCs w:val="0"/>
      <w:sz w:val="28"/>
    </w:rPr>
  </w:style>
  <w:style w:type="paragraph" w:customStyle="1" w:styleId="169">
    <w:name w:val="表格标题"/>
    <w:basedOn w:val="1"/>
    <w:autoRedefine/>
    <w:qFormat/>
    <w:uiPriority w:val="0"/>
    <w:pPr>
      <w:widowControl/>
      <w:spacing w:before="120" w:line="360" w:lineRule="auto"/>
      <w:jc w:val="center"/>
    </w:pPr>
    <w:rPr>
      <w:rFonts w:ascii="宋体"/>
      <w:sz w:val="24"/>
      <w:szCs w:val="20"/>
    </w:rPr>
  </w:style>
  <w:style w:type="paragraph" w:customStyle="1" w:styleId="170">
    <w:name w:val="Char Char Char Char Char Char Char Char Char"/>
    <w:basedOn w:val="1"/>
    <w:autoRedefine/>
    <w:qFormat/>
    <w:uiPriority w:val="0"/>
    <w:rPr>
      <w:sz w:val="24"/>
    </w:rPr>
  </w:style>
  <w:style w:type="paragraph" w:customStyle="1" w:styleId="171">
    <w:name w:val="默认段落字体 Para Char Char Char Char Char Char1 Char Char Char Char Char Char Char Char Char"/>
    <w:basedOn w:val="1"/>
    <w:autoRedefine/>
    <w:qFormat/>
    <w:uiPriority w:val="0"/>
    <w:rPr>
      <w:sz w:val="24"/>
    </w:rPr>
  </w:style>
  <w:style w:type="paragraph" w:customStyle="1" w:styleId="172">
    <w:name w:val="Char1 Char Char Char Char Char1 Char Char Char Char Char Char"/>
    <w:basedOn w:val="1"/>
    <w:autoRedefine/>
    <w:qFormat/>
    <w:uiPriority w:val="0"/>
    <w:rPr>
      <w:sz w:val="24"/>
    </w:rPr>
  </w:style>
  <w:style w:type="paragraph" w:customStyle="1" w:styleId="173">
    <w:name w:val="图目"/>
    <w:basedOn w:val="1"/>
    <w:autoRedefine/>
    <w:qFormat/>
    <w:uiPriority w:val="0"/>
    <w:pPr>
      <w:snapToGrid w:val="0"/>
      <w:spacing w:before="360" w:after="360" w:line="440" w:lineRule="atLeast"/>
      <w:jc w:val="center"/>
    </w:pPr>
    <w:rPr>
      <w:rFonts w:ascii="黑体" w:hAnsi="Arial" w:eastAsia="黑体"/>
      <w:sz w:val="24"/>
      <w:szCs w:val="20"/>
    </w:rPr>
  </w:style>
  <w:style w:type="paragraph" w:customStyle="1" w:styleId="174">
    <w:name w:val="目录 51"/>
    <w:basedOn w:val="1"/>
    <w:next w:val="1"/>
    <w:autoRedefine/>
    <w:semiHidden/>
    <w:qFormat/>
    <w:uiPriority w:val="0"/>
    <w:pPr>
      <w:adjustRightInd w:val="0"/>
      <w:snapToGrid w:val="0"/>
      <w:spacing w:line="312" w:lineRule="auto"/>
      <w:jc w:val="center"/>
    </w:pPr>
    <w:rPr>
      <w:rFonts w:ascii="仿宋_GB2312" w:eastAsia="仿宋_GB2312"/>
      <w:color w:val="000000"/>
      <w:sz w:val="24"/>
      <w:szCs w:val="21"/>
    </w:rPr>
  </w:style>
  <w:style w:type="paragraph" w:customStyle="1" w:styleId="175">
    <w:name w:val="_Style 160"/>
    <w:basedOn w:val="1"/>
    <w:next w:val="141"/>
    <w:autoRedefine/>
    <w:qFormat/>
    <w:uiPriority w:val="34"/>
    <w:pPr>
      <w:ind w:firstLine="420" w:firstLineChars="200"/>
    </w:pPr>
    <w:rPr>
      <w:szCs w:val="20"/>
    </w:rPr>
  </w:style>
  <w:style w:type="paragraph" w:customStyle="1" w:styleId="176">
    <w:name w:val="Char Char Char Char Char Char Char Char Char Char Char Char Char Char Char"/>
    <w:basedOn w:val="1"/>
    <w:autoRedefine/>
    <w:qFormat/>
    <w:uiPriority w:val="0"/>
    <w:rPr>
      <w:sz w:val="24"/>
    </w:rPr>
  </w:style>
  <w:style w:type="paragraph" w:customStyle="1" w:styleId="177">
    <w:name w:val="Char Char Char1 Char Char Char Char Char Char Char Char Char2 Char"/>
    <w:basedOn w:val="1"/>
    <w:autoRedefine/>
    <w:qFormat/>
    <w:uiPriority w:val="0"/>
    <w:rPr>
      <w:sz w:val="24"/>
    </w:rPr>
  </w:style>
  <w:style w:type="paragraph" w:customStyle="1" w:styleId="178">
    <w:name w:val="Char Char Char Char Char Char Char Char"/>
    <w:basedOn w:val="1"/>
    <w:autoRedefine/>
    <w:qFormat/>
    <w:uiPriority w:val="0"/>
    <w:rPr>
      <w:sz w:val="24"/>
    </w:rPr>
  </w:style>
  <w:style w:type="paragraph" w:customStyle="1" w:styleId="179">
    <w:name w:val="样式 样式 标题 3 + 段前: 0.5 行 段后: 0.5 行 + 段前: 0.5 行 段后: 0.5 行"/>
    <w:basedOn w:val="1"/>
    <w:autoRedefine/>
    <w:qFormat/>
    <w:uiPriority w:val="0"/>
    <w:pPr>
      <w:keepNext/>
      <w:keepLines/>
      <w:adjustRightInd w:val="0"/>
      <w:snapToGrid w:val="0"/>
      <w:ind w:left="789" w:leftChars="35" w:hanging="716" w:hangingChars="341"/>
      <w:jc w:val="center"/>
      <w:outlineLvl w:val="2"/>
    </w:pPr>
    <w:rPr>
      <w:rFonts w:ascii="仿宋_GB2312" w:hAnsi="仿宋" w:eastAsia="仿宋_GB2312"/>
      <w:color w:val="000000"/>
      <w:szCs w:val="21"/>
    </w:rPr>
  </w:style>
  <w:style w:type="paragraph" w:customStyle="1" w:styleId="180">
    <w:name w:val="1 Char Char Char Char Char Char Char Char"/>
    <w:basedOn w:val="1"/>
    <w:autoRedefine/>
    <w:qFormat/>
    <w:uiPriority w:val="0"/>
    <w:rPr>
      <w:sz w:val="24"/>
    </w:rPr>
  </w:style>
  <w:style w:type="paragraph" w:customStyle="1" w:styleId="181">
    <w:name w:val="Body Text 22"/>
    <w:autoRedefine/>
    <w:qFormat/>
    <w:uiPriority w:val="0"/>
    <w:pPr>
      <w:widowControl w:val="0"/>
      <w:adjustRightInd w:val="0"/>
      <w:spacing w:line="440" w:lineRule="atLeast"/>
      <w:ind w:firstLine="480"/>
      <w:jc w:val="both"/>
      <w:textAlignment w:val="baseline"/>
    </w:pPr>
    <w:rPr>
      <w:rFonts w:ascii="Times New Roman" w:hAnsi="Times New Roman" w:eastAsia="仿宋_GB2312" w:cs="Times New Roman"/>
      <w:kern w:val="2"/>
      <w:sz w:val="24"/>
      <w:lang w:val="en-US" w:eastAsia="zh-CN" w:bidi="ar-SA"/>
    </w:rPr>
  </w:style>
  <w:style w:type="paragraph" w:customStyle="1" w:styleId="182">
    <w:name w:val="表格 标题"/>
    <w:autoRedefine/>
    <w:qFormat/>
    <w:uiPriority w:val="0"/>
    <w:pPr>
      <w:spacing w:beforeLines="20" w:afterLines="20" w:line="500" w:lineRule="exact"/>
      <w:jc w:val="center"/>
    </w:pPr>
    <w:rPr>
      <w:rFonts w:ascii="Times New Roman" w:hAnsi="Times New Roman" w:eastAsia="仿宋_GB2312" w:cs="Times New Roman"/>
      <w:b/>
      <w:sz w:val="24"/>
      <w:szCs w:val="24"/>
      <w:lang w:val="en-US" w:eastAsia="zh-CN" w:bidi="ar-SA"/>
    </w:rPr>
  </w:style>
  <w:style w:type="paragraph" w:customStyle="1" w:styleId="183">
    <w:name w:val="xl22"/>
    <w:basedOn w:val="1"/>
    <w:autoRedefine/>
    <w:qFormat/>
    <w:uiPriority w:val="0"/>
    <w:pPr>
      <w:widowControl/>
      <w:pBdr>
        <w:bottom w:val="single" w:color="auto" w:sz="4" w:space="0"/>
        <w:right w:val="single" w:color="auto" w:sz="4" w:space="0"/>
      </w:pBdr>
      <w:spacing w:before="100" w:after="100"/>
      <w:jc w:val="center"/>
    </w:pPr>
    <w:rPr>
      <w:rFonts w:ascii="宋体" w:hAnsi="宋体"/>
      <w:kern w:val="0"/>
      <w:sz w:val="24"/>
      <w:szCs w:val="20"/>
    </w:rPr>
  </w:style>
  <w:style w:type="paragraph" w:customStyle="1" w:styleId="184">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185">
    <w:name w:val="表"/>
    <w:basedOn w:val="1"/>
    <w:autoRedefine/>
    <w:qFormat/>
    <w:uiPriority w:val="0"/>
    <w:pPr>
      <w:snapToGrid w:val="0"/>
      <w:jc w:val="center"/>
    </w:pPr>
    <w:rPr>
      <w:sz w:val="24"/>
      <w:szCs w:val="20"/>
    </w:rPr>
  </w:style>
  <w:style w:type="paragraph" w:customStyle="1" w:styleId="186">
    <w:name w:val="标准表头"/>
    <w:basedOn w:val="1"/>
    <w:autoRedefine/>
    <w:qFormat/>
    <w:uiPriority w:val="0"/>
    <w:pPr>
      <w:adjustRightInd w:val="0"/>
      <w:snapToGrid w:val="0"/>
      <w:spacing w:line="324" w:lineRule="auto"/>
      <w:ind w:firstLine="562" w:firstLineChars="200"/>
      <w:jc w:val="center"/>
    </w:pPr>
    <w:rPr>
      <w:rFonts w:eastAsia="仿宋_GB2312"/>
      <w:b/>
      <w:bCs/>
      <w:sz w:val="28"/>
    </w:rPr>
  </w:style>
  <w:style w:type="paragraph" w:customStyle="1" w:styleId="187">
    <w:name w:val="日期1"/>
    <w:basedOn w:val="1"/>
    <w:next w:val="1"/>
    <w:autoRedefine/>
    <w:qFormat/>
    <w:uiPriority w:val="0"/>
    <w:pPr>
      <w:adjustRightInd w:val="0"/>
      <w:textAlignment w:val="baseline"/>
    </w:pPr>
    <w:rPr>
      <w:rFonts w:ascii="宋体"/>
      <w:sz w:val="24"/>
      <w:szCs w:val="20"/>
    </w:rPr>
  </w:style>
  <w:style w:type="paragraph" w:customStyle="1" w:styleId="188">
    <w:name w:val="简单回函地址"/>
    <w:basedOn w:val="1"/>
    <w:autoRedefine/>
    <w:qFormat/>
    <w:uiPriority w:val="0"/>
    <w:rPr>
      <w:sz w:val="24"/>
      <w:szCs w:val="20"/>
    </w:rPr>
  </w:style>
  <w:style w:type="paragraph" w:customStyle="1" w:styleId="189">
    <w:name w:val="样式 标题 3标题 3 Char Char条标题1.1.1Section头小标题小节标题Sottoparagraf..."/>
    <w:basedOn w:val="4"/>
    <w:autoRedefine/>
    <w:qFormat/>
    <w:uiPriority w:val="0"/>
    <w:pPr>
      <w:spacing w:line="360" w:lineRule="auto"/>
    </w:pPr>
    <w:rPr>
      <w:rFonts w:ascii="Calibri" w:hAnsi="Calibri" w:cs="宋体"/>
      <w:b w:val="0"/>
      <w:bCs w:val="0"/>
      <w:kern w:val="0"/>
      <w:sz w:val="24"/>
      <w:szCs w:val="20"/>
    </w:rPr>
  </w:style>
  <w:style w:type="paragraph" w:customStyle="1" w:styleId="190">
    <w:name w:val="3 正文"/>
    <w:basedOn w:val="1"/>
    <w:link w:val="191"/>
    <w:autoRedefine/>
    <w:qFormat/>
    <w:uiPriority w:val="0"/>
    <w:pPr>
      <w:adjustRightInd w:val="0"/>
      <w:snapToGrid w:val="0"/>
      <w:spacing w:line="360" w:lineRule="auto"/>
      <w:ind w:firstLine="480" w:firstLineChars="200"/>
    </w:pPr>
    <w:rPr>
      <w:sz w:val="24"/>
      <w:lang w:val="zh-CN"/>
    </w:rPr>
  </w:style>
  <w:style w:type="character" w:customStyle="1" w:styleId="191">
    <w:name w:val="3 正文 Char"/>
    <w:link w:val="190"/>
    <w:autoRedefine/>
    <w:qFormat/>
    <w:uiPriority w:val="0"/>
    <w:rPr>
      <w:kern w:val="2"/>
      <w:sz w:val="24"/>
      <w:szCs w:val="24"/>
      <w:lang w:val="zh-CN"/>
    </w:rPr>
  </w:style>
  <w:style w:type="paragraph" w:customStyle="1" w:styleId="192">
    <w:name w:val="1 表头 自制"/>
    <w:basedOn w:val="1"/>
    <w:link w:val="193"/>
    <w:autoRedefine/>
    <w:qFormat/>
    <w:uiPriority w:val="0"/>
    <w:pPr>
      <w:jc w:val="center"/>
    </w:pPr>
    <w:rPr>
      <w:b/>
      <w:kern w:val="0"/>
      <w:sz w:val="24"/>
    </w:rPr>
  </w:style>
  <w:style w:type="character" w:customStyle="1" w:styleId="193">
    <w:name w:val="1 表头 自制 Char"/>
    <w:link w:val="192"/>
    <w:autoRedefine/>
    <w:qFormat/>
    <w:locked/>
    <w:uiPriority w:val="0"/>
    <w:rPr>
      <w:b/>
      <w:sz w:val="24"/>
      <w:szCs w:val="24"/>
    </w:rPr>
  </w:style>
  <w:style w:type="paragraph" w:customStyle="1" w:styleId="194">
    <w:name w:val="样式 (符号) 宋体 小四 红色 行距: 1.5 倍行距 首行缩进:  2 字符"/>
    <w:basedOn w:val="1"/>
    <w:autoRedefine/>
    <w:qFormat/>
    <w:uiPriority w:val="0"/>
    <w:pPr>
      <w:spacing w:line="360" w:lineRule="auto"/>
      <w:ind w:firstLine="480" w:firstLineChars="200"/>
    </w:pPr>
    <w:rPr>
      <w:rFonts w:hAnsi="宋体" w:cs="宋体"/>
      <w:color w:val="FF0000"/>
      <w:sz w:val="24"/>
      <w:szCs w:val="20"/>
    </w:rPr>
  </w:style>
  <w:style w:type="paragraph" w:customStyle="1" w:styleId="195">
    <w:name w:val="Char Char1 Char1"/>
    <w:basedOn w:val="1"/>
    <w:autoRedefine/>
    <w:qFormat/>
    <w:uiPriority w:val="0"/>
    <w:rPr>
      <w:szCs w:val="20"/>
    </w:rPr>
  </w:style>
  <w:style w:type="paragraph" w:customStyle="1" w:styleId="196">
    <w:name w:val="无列表1"/>
    <w:autoRedefine/>
    <w:semiHidden/>
    <w:qFormat/>
    <w:uiPriority w:val="0"/>
    <w:rPr>
      <w:rFonts w:ascii="Calibri" w:hAnsi="Calibri" w:eastAsia="宋体" w:cs="Times New Roman"/>
      <w:sz w:val="21"/>
      <w:szCs w:val="22"/>
      <w:lang w:val="en-US" w:eastAsia="zh-CN" w:bidi="ar-SA"/>
    </w:rPr>
  </w:style>
  <w:style w:type="character" w:customStyle="1" w:styleId="197">
    <w:name w:val="正文文本缩进 字符"/>
    <w:autoRedefine/>
    <w:qFormat/>
    <w:locked/>
    <w:uiPriority w:val="0"/>
    <w:rPr>
      <w:rFonts w:ascii="Times New Roman" w:hAnsi="Times New Roman" w:eastAsia="宋体"/>
      <w:sz w:val="24"/>
    </w:rPr>
  </w:style>
  <w:style w:type="character" w:customStyle="1" w:styleId="198">
    <w:name w:val="font31"/>
    <w:autoRedefine/>
    <w:qFormat/>
    <w:uiPriority w:val="0"/>
    <w:rPr>
      <w:rFonts w:hint="default" w:ascii="Times New Roman" w:hAnsi="Times New Roman" w:cs="Times New Roman"/>
      <w:b/>
      <w:bCs/>
      <w:color w:val="000000"/>
      <w:sz w:val="21"/>
      <w:szCs w:val="21"/>
      <w:u w:val="none"/>
    </w:rPr>
  </w:style>
  <w:style w:type="character" w:customStyle="1" w:styleId="199">
    <w:name w:val="font21"/>
    <w:autoRedefine/>
    <w:qFormat/>
    <w:uiPriority w:val="0"/>
    <w:rPr>
      <w:rFonts w:hint="eastAsia" w:ascii="宋体" w:hAnsi="宋体" w:eastAsia="宋体" w:cs="宋体"/>
      <w:b/>
      <w:bCs/>
      <w:color w:val="000000"/>
      <w:sz w:val="21"/>
      <w:szCs w:val="21"/>
      <w:u w:val="none"/>
    </w:rPr>
  </w:style>
  <w:style w:type="character" w:customStyle="1" w:styleId="200">
    <w:name w:val="font51"/>
    <w:autoRedefine/>
    <w:qFormat/>
    <w:uiPriority w:val="0"/>
    <w:rPr>
      <w:rFonts w:hint="default" w:ascii="Times New Roman" w:hAnsi="Times New Roman" w:cs="Times New Roman"/>
      <w:color w:val="000000"/>
      <w:sz w:val="21"/>
      <w:szCs w:val="21"/>
      <w:u w:val="none"/>
    </w:rPr>
  </w:style>
  <w:style w:type="character" w:customStyle="1" w:styleId="201">
    <w:name w:val="font41"/>
    <w:autoRedefine/>
    <w:qFormat/>
    <w:uiPriority w:val="0"/>
    <w:rPr>
      <w:rFonts w:hint="eastAsia" w:ascii="宋体" w:hAnsi="宋体" w:eastAsia="宋体" w:cs="宋体"/>
      <w:color w:val="000000"/>
      <w:sz w:val="21"/>
      <w:szCs w:val="21"/>
      <w:u w:val="none"/>
    </w:rPr>
  </w:style>
  <w:style w:type="paragraph" w:customStyle="1" w:styleId="202">
    <w:name w:val="正文2"/>
    <w:autoRedefine/>
    <w:qFormat/>
    <w:uiPriority w:val="0"/>
    <w:pPr>
      <w:jc w:val="both"/>
    </w:pPr>
    <w:rPr>
      <w:rFonts w:ascii="Calibri" w:hAnsi="Calibri" w:eastAsia="宋体" w:cs="Calibri"/>
      <w:kern w:val="2"/>
      <w:sz w:val="21"/>
      <w:szCs w:val="21"/>
      <w:lang w:val="en-US" w:eastAsia="zh-CN" w:bidi="ar-SA"/>
    </w:rPr>
  </w:style>
  <w:style w:type="paragraph" w:customStyle="1" w:styleId="203">
    <w:name w:val="Table Text"/>
    <w:basedOn w:val="1"/>
    <w:autoRedefine/>
    <w:semiHidden/>
    <w:qFormat/>
    <w:uiPriority w:val="0"/>
    <w:rPr>
      <w:rFonts w:ascii="宋体" w:hAnsi="宋体" w:cs="宋体"/>
      <w:sz w:val="20"/>
      <w:szCs w:val="20"/>
      <w:lang w:eastAsia="en-US"/>
    </w:rPr>
  </w:style>
  <w:style w:type="table" w:customStyle="1" w:styleId="204">
    <w:name w:val="Table Normal"/>
    <w:autoRedefine/>
    <w:unhideWhenUsed/>
    <w:qFormat/>
    <w:uiPriority w:val="0"/>
    <w:tblPr>
      <w:tblCellMar>
        <w:top w:w="0" w:type="dxa"/>
        <w:left w:w="0" w:type="dxa"/>
        <w:bottom w:w="0" w:type="dxa"/>
        <w:right w:w="0" w:type="dxa"/>
      </w:tblCellMar>
    </w:tblPr>
  </w:style>
  <w:style w:type="character" w:customStyle="1" w:styleId="205">
    <w:name w:val="正文文本缩进 Char2"/>
    <w:autoRedefine/>
    <w:qFormat/>
    <w:locked/>
    <w:uiPriority w:val="0"/>
    <w:rPr>
      <w:rFonts w:ascii="Times New Roman" w:hAnsi="Times New Roman" w:eastAsia="宋体"/>
      <w:sz w:val="24"/>
    </w:rPr>
  </w:style>
  <w:style w:type="paragraph" w:customStyle="1" w:styleId="206">
    <w:name w:val="5空格"/>
    <w:basedOn w:val="207"/>
    <w:autoRedefine/>
    <w:qFormat/>
    <w:uiPriority w:val="99"/>
    <w:pPr>
      <w:spacing w:line="240" w:lineRule="exact"/>
    </w:pPr>
  </w:style>
  <w:style w:type="paragraph" w:customStyle="1" w:styleId="207">
    <w:name w:val="5正文"/>
    <w:basedOn w:val="1"/>
    <w:autoRedefine/>
    <w:qFormat/>
    <w:uiPriority w:val="0"/>
    <w:pPr>
      <w:snapToGrid w:val="0"/>
      <w:spacing w:line="360" w:lineRule="auto"/>
      <w:ind w:firstLine="200" w:firstLineChars="200"/>
    </w:pPr>
    <w:rPr>
      <w:sz w:val="24"/>
      <w:lang w:val="zh-CN"/>
    </w:rPr>
  </w:style>
  <w:style w:type="character" w:customStyle="1" w:styleId="208">
    <w:name w:val="text_brbij"/>
    <w:basedOn w:val="39"/>
    <w:autoRedefine/>
    <w:qFormat/>
    <w:uiPriority w:val="0"/>
  </w:style>
  <w:style w:type="character" w:customStyle="1" w:styleId="209">
    <w:name w:val="titlespan_rtaog"/>
    <w:basedOn w:val="39"/>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e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5E8B2C-0BBC-4745-87C7-FC5A5BE3410D}">
  <ds:schemaRefs/>
</ds:datastoreItem>
</file>

<file path=docProps/app.xml><?xml version="1.0" encoding="utf-8"?>
<Properties xmlns="http://schemas.openxmlformats.org/officeDocument/2006/extended-properties" xmlns:vt="http://schemas.openxmlformats.org/officeDocument/2006/docPropsVTypes">
  <Template>wdzx97</Template>
  <Company>微软中国</Company>
  <Pages>52</Pages>
  <Words>39339</Words>
  <Characters>43546</Characters>
  <Lines>458</Lines>
  <Paragraphs>129</Paragraphs>
  <TotalTime>1</TotalTime>
  <ScaleCrop>false</ScaleCrop>
  <LinksUpToDate>false</LinksUpToDate>
  <CharactersWithSpaces>43875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2022-11-23T02:24:00Z</dcterms:created>
  <dc:creator>lhj</dc:creator>
  <cp:lastModifiedBy>给我一块巧克力</cp:lastModifiedBy>
  <cp:lastPrinted>2022-11-30T14:38:00Z</cp:lastPrinted>
  <dcterms:modified xsi:type="dcterms:W3CDTF">2024-06-11T08:57:11Z</dcterms:modified>
  <dc:title>附件2</dc:title>
  <cp:revision>1271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CE6FC8607CEF49429F9205529B0571B1_13</vt:lpwstr>
  </property>
</Properties>
</file>